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2FD98848" w:rsidR="005E1013" w:rsidRDefault="00621F5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NHS MSK Clinical Lead</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56965F0" w:rsidR="00966F66" w:rsidRPr="00621F53" w:rsidRDefault="00621F53" w:rsidP="4227B2D3">
            <w:pPr>
              <w:spacing w:before="100" w:after="100"/>
              <w:rPr>
                <w:rFonts w:eastAsia="Gill Sans MT" w:cs="Calibri"/>
                <w:szCs w:val="22"/>
              </w:rPr>
            </w:pPr>
            <w:r w:rsidRPr="00621F53">
              <w:rPr>
                <w:rFonts w:cs="Calibri"/>
                <w:szCs w:val="22"/>
              </w:rPr>
              <w:t>NHS MSK Clinical Lead</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F3820FE" w:rsidR="00966F66" w:rsidRPr="00621F53" w:rsidRDefault="00621F53" w:rsidP="4227B2D3">
            <w:pPr>
              <w:spacing w:before="100" w:after="100"/>
              <w:rPr>
                <w:rFonts w:eastAsia="Gill Sans MT" w:cs="Calibri"/>
                <w:szCs w:val="22"/>
              </w:rPr>
            </w:pPr>
            <w:r w:rsidRPr="00621F53">
              <w:rPr>
                <w:rFonts w:cs="Calibri"/>
                <w:szCs w:val="22"/>
              </w:rPr>
              <w:t>NHS MSK</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826294F" w:rsidR="00966F66" w:rsidRPr="00621F53" w:rsidRDefault="00621F53" w:rsidP="4227B2D3">
            <w:pPr>
              <w:spacing w:before="100" w:after="100"/>
              <w:rPr>
                <w:rFonts w:eastAsia="Gill Sans MT" w:cs="Calibri"/>
                <w:szCs w:val="22"/>
              </w:rPr>
            </w:pPr>
            <w:r w:rsidRPr="00621F53">
              <w:rPr>
                <w:rFonts w:cs="Calibri"/>
                <w:szCs w:val="22"/>
              </w:rPr>
              <w:t>London</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63EEE6A6" w:rsidR="00966F66" w:rsidRPr="00621F53" w:rsidRDefault="00621F53" w:rsidP="4227B2D3">
            <w:pPr>
              <w:spacing w:before="100" w:after="100"/>
              <w:rPr>
                <w:rFonts w:eastAsia="Gill Sans MT" w:cs="Calibri"/>
                <w:szCs w:val="22"/>
              </w:rPr>
            </w:pPr>
            <w:r w:rsidRPr="00621F53">
              <w:rPr>
                <w:rFonts w:cs="Calibri"/>
                <w:szCs w:val="22"/>
              </w:rPr>
              <w:t>NHS MSK Service Lead</w:t>
            </w:r>
          </w:p>
        </w:tc>
      </w:tr>
      <w:tr w:rsidR="00621F53" w14:paraId="13153721" w14:textId="77777777" w:rsidTr="1E5E83AD">
        <w:tc>
          <w:tcPr>
            <w:tcW w:w="3256" w:type="dxa"/>
            <w:vAlign w:val="center"/>
          </w:tcPr>
          <w:p w14:paraId="6993CC7D" w14:textId="7342EA56" w:rsidR="00621F53" w:rsidRDefault="00621F53" w:rsidP="00621F53">
            <w:pPr>
              <w:spacing w:before="100" w:after="100"/>
            </w:pPr>
            <w:r>
              <w:t>Direct reports:</w:t>
            </w:r>
          </w:p>
          <w:p w14:paraId="47666179" w14:textId="0971B0AF" w:rsidR="00621F53" w:rsidRDefault="00621F53" w:rsidP="00621F53">
            <w:pPr>
              <w:spacing w:before="100" w:after="100"/>
            </w:pPr>
            <w:r>
              <w:t xml:space="preserve"> (job title only)</w:t>
            </w:r>
          </w:p>
        </w:tc>
        <w:tc>
          <w:tcPr>
            <w:tcW w:w="6706" w:type="dxa"/>
            <w:vAlign w:val="center"/>
          </w:tcPr>
          <w:p w14:paraId="3DB63B7E" w14:textId="254CA84F" w:rsidR="00621F53" w:rsidRPr="00621F53" w:rsidRDefault="00621F53" w:rsidP="00621F53">
            <w:pPr>
              <w:spacing w:before="100" w:after="100"/>
              <w:rPr>
                <w:rFonts w:eastAsia="Gill Sans MT" w:cs="Calibri"/>
                <w:szCs w:val="22"/>
              </w:rPr>
            </w:pPr>
            <w:r w:rsidRPr="00621F53">
              <w:rPr>
                <w:rFonts w:cs="Calibri"/>
                <w:szCs w:val="22"/>
              </w:rPr>
              <w:t>None</w:t>
            </w:r>
          </w:p>
        </w:tc>
      </w:tr>
      <w:tr w:rsidR="00621F53" w14:paraId="61110A87" w14:textId="77777777" w:rsidTr="1E5E83AD">
        <w:tc>
          <w:tcPr>
            <w:tcW w:w="3256" w:type="dxa"/>
            <w:vAlign w:val="center"/>
          </w:tcPr>
          <w:p w14:paraId="5996CE35" w14:textId="6924CA2B" w:rsidR="00621F53" w:rsidRDefault="00621F53" w:rsidP="00621F53">
            <w:pPr>
              <w:spacing w:before="100" w:after="100"/>
            </w:pPr>
            <w:r>
              <w:t xml:space="preserve">Accountable to: </w:t>
            </w:r>
          </w:p>
          <w:p w14:paraId="2FF0A51C" w14:textId="3D895BE2" w:rsidR="00621F53" w:rsidRDefault="00621F53" w:rsidP="00621F53">
            <w:pPr>
              <w:spacing w:before="100" w:after="100"/>
            </w:pPr>
            <w:r>
              <w:t>(where applicable)</w:t>
            </w:r>
          </w:p>
        </w:tc>
        <w:tc>
          <w:tcPr>
            <w:tcW w:w="6706" w:type="dxa"/>
            <w:vAlign w:val="center"/>
          </w:tcPr>
          <w:p w14:paraId="3DFAFEE2" w14:textId="77777777" w:rsidR="00621F53" w:rsidRPr="00621F53" w:rsidRDefault="00621F53" w:rsidP="00621F53">
            <w:pPr>
              <w:spacing w:before="100" w:after="100"/>
              <w:rPr>
                <w:rFonts w:cs="Calibri"/>
                <w:szCs w:val="22"/>
              </w:rPr>
            </w:pPr>
          </w:p>
        </w:tc>
      </w:tr>
      <w:tr w:rsidR="00621F53" w14:paraId="459E1B5F" w14:textId="77777777" w:rsidTr="1E5E83AD">
        <w:tc>
          <w:tcPr>
            <w:tcW w:w="3256" w:type="dxa"/>
            <w:vAlign w:val="center"/>
          </w:tcPr>
          <w:p w14:paraId="3F242D0D" w14:textId="7D9E94A7" w:rsidR="00621F53" w:rsidRDefault="00621F53" w:rsidP="00621F53">
            <w:pPr>
              <w:spacing w:before="100" w:after="100"/>
            </w:pPr>
            <w:r>
              <w:t>Responsible to:</w:t>
            </w:r>
          </w:p>
          <w:p w14:paraId="65CDC27E" w14:textId="436CC73C" w:rsidR="00621F53" w:rsidRDefault="00621F53" w:rsidP="00621F53">
            <w:pPr>
              <w:spacing w:before="100" w:after="100"/>
            </w:pPr>
            <w:r>
              <w:t>(where applicable)</w:t>
            </w:r>
          </w:p>
        </w:tc>
        <w:tc>
          <w:tcPr>
            <w:tcW w:w="6706" w:type="dxa"/>
            <w:vAlign w:val="center"/>
          </w:tcPr>
          <w:p w14:paraId="21AB59BB" w14:textId="42D36926" w:rsidR="00621F53" w:rsidRPr="00621F53" w:rsidRDefault="00621F53" w:rsidP="00621F53">
            <w:pPr>
              <w:spacing w:before="100" w:after="100"/>
              <w:rPr>
                <w:rFonts w:cs="Calibri"/>
                <w:szCs w:val="22"/>
              </w:rPr>
            </w:pPr>
          </w:p>
        </w:tc>
      </w:tr>
      <w:tr w:rsidR="00621F53" w14:paraId="34A2BEBB" w14:textId="77777777" w:rsidTr="1E5E83AD">
        <w:tc>
          <w:tcPr>
            <w:tcW w:w="3256" w:type="dxa"/>
            <w:vAlign w:val="center"/>
          </w:tcPr>
          <w:p w14:paraId="5D8CED71" w14:textId="47B9CCF8" w:rsidR="00621F53" w:rsidRDefault="00621F53" w:rsidP="00621F53">
            <w:pPr>
              <w:spacing w:before="100" w:after="100"/>
            </w:pPr>
            <w:r>
              <w:t>Job purpose:</w:t>
            </w:r>
          </w:p>
        </w:tc>
        <w:tc>
          <w:tcPr>
            <w:tcW w:w="6706" w:type="dxa"/>
            <w:vAlign w:val="center"/>
          </w:tcPr>
          <w:p w14:paraId="09E62E3C" w14:textId="77777777" w:rsidR="00621F53" w:rsidRDefault="00621F53" w:rsidP="00621F53">
            <w:pPr>
              <w:rPr>
                <w:rFonts w:cs="Calibri"/>
                <w:szCs w:val="22"/>
              </w:rPr>
            </w:pPr>
            <w:r w:rsidRPr="00621F53">
              <w:rPr>
                <w:rFonts w:cs="Calibri"/>
                <w:color w:val="000000" w:themeColor="text1"/>
                <w:szCs w:val="22"/>
              </w:rPr>
              <w:t>The NHS MSK Clinical Lead will be responsible for supporting the clinical delivery and operational effectiveness of the NHS MSK service within our current (Southeast and Southwest London) and future footprint.  They will</w:t>
            </w:r>
            <w:r w:rsidRPr="00621F53">
              <w:rPr>
                <w:rFonts w:cs="Calibri"/>
                <w:szCs w:val="22"/>
              </w:rPr>
              <w:t xml:space="preserve"> be from an MSK clinical background, with extensive experience in NHS MSK services. Experience working in a Clinical assessment and triage service is preferable but not essential. In addition:</w:t>
            </w:r>
          </w:p>
          <w:p w14:paraId="6E09528D" w14:textId="77777777" w:rsidR="00621F53" w:rsidRPr="00621F53" w:rsidRDefault="00621F53" w:rsidP="00621F53">
            <w:pPr>
              <w:rPr>
                <w:rFonts w:cs="Calibri"/>
                <w:szCs w:val="22"/>
              </w:rPr>
            </w:pPr>
          </w:p>
          <w:p w14:paraId="5E88755C" w14:textId="77777777" w:rsidR="00621F53" w:rsidRPr="00621F53" w:rsidRDefault="00621F53" w:rsidP="00621F53">
            <w:pPr>
              <w:pStyle w:val="ListParagraph"/>
              <w:numPr>
                <w:ilvl w:val="0"/>
                <w:numId w:val="11"/>
              </w:numPr>
              <w:spacing w:after="200"/>
              <w:rPr>
                <w:rFonts w:cs="Calibri"/>
                <w:szCs w:val="22"/>
              </w:rPr>
            </w:pPr>
            <w:r w:rsidRPr="00621F53">
              <w:rPr>
                <w:rFonts w:cs="Calibri"/>
                <w:szCs w:val="22"/>
              </w:rPr>
              <w:t xml:space="preserve">Will be responsible for supporting the training and development of the clinical workforce </w:t>
            </w:r>
          </w:p>
          <w:p w14:paraId="340B21CA" w14:textId="77777777" w:rsidR="00621F53" w:rsidRPr="00621F53" w:rsidRDefault="00621F53" w:rsidP="00621F53">
            <w:pPr>
              <w:pStyle w:val="ListParagraph"/>
              <w:numPr>
                <w:ilvl w:val="0"/>
                <w:numId w:val="11"/>
              </w:numPr>
              <w:spacing w:after="200"/>
              <w:rPr>
                <w:rFonts w:cs="Calibri"/>
                <w:szCs w:val="22"/>
              </w:rPr>
            </w:pPr>
            <w:r w:rsidRPr="00621F53">
              <w:rPr>
                <w:rFonts w:cs="Calibri"/>
                <w:szCs w:val="22"/>
              </w:rPr>
              <w:t xml:space="preserve">Will have the competencies to manage complex clinical issues and incidents within the service </w:t>
            </w:r>
          </w:p>
          <w:p w14:paraId="2A1C1448" w14:textId="77777777" w:rsidR="00621F53" w:rsidRPr="00621F53" w:rsidRDefault="00621F53" w:rsidP="00621F53">
            <w:pPr>
              <w:pStyle w:val="ListParagraph"/>
              <w:numPr>
                <w:ilvl w:val="0"/>
                <w:numId w:val="11"/>
              </w:numPr>
              <w:spacing w:after="200"/>
              <w:rPr>
                <w:rFonts w:cs="Calibri"/>
                <w:szCs w:val="22"/>
              </w:rPr>
            </w:pPr>
            <w:r w:rsidRPr="00621F53">
              <w:rPr>
                <w:rFonts w:cs="Calibri"/>
                <w:szCs w:val="22"/>
              </w:rPr>
              <w:t xml:space="preserve">Will provide comprehensive clinical support to the </w:t>
            </w:r>
            <w:proofErr w:type="gramStart"/>
            <w:r w:rsidRPr="00621F53">
              <w:rPr>
                <w:rFonts w:cs="Calibri"/>
                <w:szCs w:val="22"/>
              </w:rPr>
              <w:t>team  to</w:t>
            </w:r>
            <w:proofErr w:type="gramEnd"/>
            <w:r w:rsidRPr="00621F53">
              <w:rPr>
                <w:rFonts w:cs="Calibri"/>
                <w:szCs w:val="22"/>
              </w:rPr>
              <w:t xml:space="preserve"> drive and instil clinical effectiveness and a culture of continuous improvement. Will have the experience and competencies to ensure delivery of a robust outcome focused service </w:t>
            </w:r>
          </w:p>
          <w:p w14:paraId="1242D617" w14:textId="77777777" w:rsidR="00621F53" w:rsidRPr="00621F53" w:rsidRDefault="00621F53" w:rsidP="00621F53">
            <w:pPr>
              <w:pStyle w:val="ListParagraph"/>
              <w:numPr>
                <w:ilvl w:val="0"/>
                <w:numId w:val="11"/>
              </w:numPr>
              <w:spacing w:after="200"/>
              <w:rPr>
                <w:rFonts w:cs="Calibri"/>
                <w:szCs w:val="22"/>
              </w:rPr>
            </w:pPr>
            <w:r w:rsidRPr="00621F53">
              <w:rPr>
                <w:rFonts w:cs="Calibri"/>
                <w:szCs w:val="22"/>
              </w:rPr>
              <w:t xml:space="preserve">Develop and maintain relationships with key stakeholders including the MSK Clinical Director, National MSK Clinical Lead NHS MSK Service lead, local Secondary care department leads, and primary care directors and managers. </w:t>
            </w:r>
          </w:p>
          <w:p w14:paraId="291BF238" w14:textId="77777777" w:rsidR="00621F53" w:rsidRPr="00621F53" w:rsidRDefault="00621F53" w:rsidP="00621F53">
            <w:pPr>
              <w:pStyle w:val="ListParagraph"/>
              <w:numPr>
                <w:ilvl w:val="0"/>
                <w:numId w:val="11"/>
              </w:numPr>
              <w:spacing w:after="200"/>
              <w:rPr>
                <w:rFonts w:cs="Calibri"/>
                <w:szCs w:val="22"/>
              </w:rPr>
            </w:pPr>
            <w:r w:rsidRPr="00621F53">
              <w:rPr>
                <w:rFonts w:cs="Calibri"/>
                <w:szCs w:val="22"/>
              </w:rPr>
              <w:t>The post holder will provide supervision, training, and advice to senior clinicians and the MCATS team.</w:t>
            </w:r>
          </w:p>
          <w:p w14:paraId="30281B39" w14:textId="77777777" w:rsidR="00621F53" w:rsidRPr="00621F53" w:rsidRDefault="00621F53" w:rsidP="00621F53">
            <w:pPr>
              <w:pStyle w:val="ListParagraph"/>
              <w:numPr>
                <w:ilvl w:val="0"/>
                <w:numId w:val="11"/>
              </w:numPr>
              <w:spacing w:after="200"/>
              <w:rPr>
                <w:rFonts w:cs="Calibri"/>
                <w:b/>
                <w:bCs/>
                <w:szCs w:val="22"/>
                <w:u w:val="single"/>
              </w:rPr>
            </w:pPr>
            <w:r w:rsidRPr="00621F53">
              <w:rPr>
                <w:rFonts w:cs="Calibri"/>
                <w:szCs w:val="22"/>
              </w:rPr>
              <w:t xml:space="preserve">Will maintain a clinical caseload </w:t>
            </w:r>
          </w:p>
          <w:p w14:paraId="0DA91B1F" w14:textId="77777777" w:rsidR="00621F53" w:rsidRPr="00621F53" w:rsidRDefault="00621F53" w:rsidP="00621F53">
            <w:pPr>
              <w:pStyle w:val="ListParagraph"/>
              <w:numPr>
                <w:ilvl w:val="0"/>
                <w:numId w:val="11"/>
              </w:numPr>
              <w:spacing w:after="200"/>
              <w:rPr>
                <w:rFonts w:cs="Calibri"/>
                <w:szCs w:val="22"/>
              </w:rPr>
            </w:pPr>
            <w:r w:rsidRPr="00621F53">
              <w:rPr>
                <w:rFonts w:cs="Calibri"/>
                <w:szCs w:val="22"/>
              </w:rPr>
              <w:t xml:space="preserve">Will oversee the quality assurance and quality improvement activities for the service. </w:t>
            </w:r>
          </w:p>
          <w:p w14:paraId="027DF167" w14:textId="2B823DB1" w:rsidR="00621F53" w:rsidRPr="00621F53" w:rsidRDefault="00621F53" w:rsidP="00621F53">
            <w:pPr>
              <w:spacing w:before="100" w:after="100" w:line="276" w:lineRule="auto"/>
              <w:rPr>
                <w:rFonts w:eastAsia="Calibri" w:cs="Calibri"/>
                <w:szCs w:val="22"/>
              </w:rPr>
            </w:pPr>
            <w:r w:rsidRPr="00621F53">
              <w:rPr>
                <w:rFonts w:cs="Calibri"/>
                <w:szCs w:val="22"/>
              </w:rPr>
              <w:t>Will attend and represent the service at all relevant clinical network events, meetings and working groups, both regionally and nationally</w:t>
            </w:r>
          </w:p>
        </w:tc>
      </w:tr>
      <w:tr w:rsidR="00621F53" w14:paraId="3CFD1385" w14:textId="77777777" w:rsidTr="1E5E83AD">
        <w:tc>
          <w:tcPr>
            <w:tcW w:w="3256" w:type="dxa"/>
            <w:vAlign w:val="center"/>
          </w:tcPr>
          <w:p w14:paraId="627BDC42" w14:textId="3DF91B23" w:rsidR="00621F53" w:rsidRDefault="00621F53" w:rsidP="00621F53">
            <w:pPr>
              <w:spacing w:before="100" w:after="100"/>
            </w:pPr>
            <w:r>
              <w:t>Role and Responsibilities:</w:t>
            </w:r>
          </w:p>
        </w:tc>
        <w:tc>
          <w:tcPr>
            <w:tcW w:w="6706" w:type="dxa"/>
            <w:vAlign w:val="center"/>
          </w:tcPr>
          <w:p w14:paraId="2B370932" w14:textId="77777777" w:rsidR="00621F53" w:rsidRPr="00621F53" w:rsidRDefault="00621F53" w:rsidP="00621F53">
            <w:pPr>
              <w:rPr>
                <w:rFonts w:cs="Calibri"/>
                <w:szCs w:val="22"/>
              </w:rPr>
            </w:pPr>
            <w:r w:rsidRPr="00621F53">
              <w:rPr>
                <w:rFonts w:cs="Calibri"/>
                <w:szCs w:val="22"/>
              </w:rPr>
              <w:t xml:space="preserve">The post holder will be expected to contribute to the clinical activity of the service, </w:t>
            </w:r>
            <w:proofErr w:type="gramStart"/>
            <w:r w:rsidRPr="00621F53">
              <w:rPr>
                <w:rFonts w:cs="Calibri"/>
                <w:szCs w:val="22"/>
              </w:rPr>
              <w:t>in order to</w:t>
            </w:r>
            <w:proofErr w:type="gramEnd"/>
            <w:r w:rsidRPr="00621F53">
              <w:rPr>
                <w:rFonts w:cs="Calibri"/>
                <w:szCs w:val="22"/>
              </w:rPr>
              <w:t xml:space="preserve"> act as an expert therapist and role model to staff. The post holder is responsible for:</w:t>
            </w:r>
          </w:p>
          <w:p w14:paraId="79688F34" w14:textId="77777777" w:rsidR="00621F53" w:rsidRPr="00621F53" w:rsidRDefault="00621F53" w:rsidP="00621F53">
            <w:pPr>
              <w:pStyle w:val="ListParagraph"/>
              <w:rPr>
                <w:rFonts w:cs="Calibri"/>
                <w:color w:val="000000"/>
                <w:szCs w:val="22"/>
              </w:rPr>
            </w:pPr>
          </w:p>
          <w:p w14:paraId="3B4ABCDB"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 xml:space="preserve">Carrying out, and supporting clinical team leads to carry out quality assurance activities, including audit. </w:t>
            </w:r>
          </w:p>
          <w:p w14:paraId="3D3C02A3"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 xml:space="preserve">Working closely with the MSK Clinical director and National MSK Clinical Lead to ensure learning is shared appropriately from quality assurance and quality improvement activities. </w:t>
            </w:r>
          </w:p>
          <w:p w14:paraId="423E0254" w14:textId="77777777" w:rsidR="00621F53" w:rsidRPr="00621F53" w:rsidRDefault="00621F53" w:rsidP="00621F53">
            <w:pPr>
              <w:pStyle w:val="ListParagraph"/>
              <w:numPr>
                <w:ilvl w:val="0"/>
                <w:numId w:val="12"/>
              </w:numPr>
              <w:spacing w:after="200"/>
              <w:rPr>
                <w:rFonts w:cs="Calibri"/>
                <w:szCs w:val="22"/>
              </w:rPr>
            </w:pPr>
            <w:r w:rsidRPr="00621F53">
              <w:rPr>
                <w:rFonts w:cs="Calibri"/>
                <w:color w:val="000000" w:themeColor="text1"/>
                <w:szCs w:val="22"/>
              </w:rPr>
              <w:t>Maintaining an in-depth knowledge of all Vita Health Group services</w:t>
            </w:r>
          </w:p>
          <w:p w14:paraId="5FEC258F" w14:textId="77777777" w:rsidR="00621F53" w:rsidRPr="00621F53" w:rsidRDefault="00621F53" w:rsidP="00621F53">
            <w:pPr>
              <w:pStyle w:val="ListParagraph"/>
              <w:numPr>
                <w:ilvl w:val="0"/>
                <w:numId w:val="12"/>
              </w:numPr>
              <w:spacing w:after="200"/>
              <w:rPr>
                <w:rFonts w:cs="Calibri"/>
                <w:szCs w:val="22"/>
              </w:rPr>
            </w:pPr>
            <w:r w:rsidRPr="00621F53">
              <w:rPr>
                <w:rFonts w:cs="Calibri"/>
                <w:color w:val="000000" w:themeColor="text1"/>
                <w:szCs w:val="22"/>
              </w:rPr>
              <w:t>Support different clinical activities as required including MSK triage, and diagnostic review lists.</w:t>
            </w:r>
          </w:p>
          <w:p w14:paraId="0169BF03"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 xml:space="preserve">Support with performance management of clinicians where they are failing to meet their KPI’s. </w:t>
            </w:r>
          </w:p>
          <w:p w14:paraId="50D18452"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Assisting with the strategic development of the service both internally and externally</w:t>
            </w:r>
          </w:p>
          <w:p w14:paraId="10CE1A68" w14:textId="77777777" w:rsidR="00621F53" w:rsidRPr="00621F53" w:rsidRDefault="00621F53" w:rsidP="00621F53">
            <w:pPr>
              <w:pStyle w:val="ListParagraph"/>
              <w:numPr>
                <w:ilvl w:val="0"/>
                <w:numId w:val="12"/>
              </w:numPr>
              <w:rPr>
                <w:rFonts w:cs="Calibri"/>
                <w:szCs w:val="22"/>
              </w:rPr>
            </w:pPr>
            <w:r w:rsidRPr="00621F53">
              <w:rPr>
                <w:rFonts w:cs="Calibri"/>
                <w:szCs w:val="22"/>
              </w:rPr>
              <w:t>Collaboration and pathway management with external clinical agencies such as Secondary Care, Primary care, and other local intermediate services to ensure safe and effective transitions for patients. Actively engage with these partners to attend or offer external training sessions where appropriate to support this process.</w:t>
            </w:r>
          </w:p>
          <w:p w14:paraId="4DD7B3D7"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Provide clinical representation at contract meetings</w:t>
            </w:r>
          </w:p>
          <w:p w14:paraId="671B1173"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Assist with the long-term planning and development of NHS MSK therapies within VHG</w:t>
            </w:r>
          </w:p>
          <w:p w14:paraId="14795A85" w14:textId="77777777" w:rsidR="00621F53" w:rsidRPr="00621F53" w:rsidRDefault="00621F53" w:rsidP="00621F53">
            <w:pPr>
              <w:pStyle w:val="ListParagraph"/>
              <w:numPr>
                <w:ilvl w:val="0"/>
                <w:numId w:val="12"/>
              </w:numPr>
              <w:spacing w:after="200"/>
              <w:rPr>
                <w:rFonts w:cs="Calibri"/>
                <w:szCs w:val="22"/>
              </w:rPr>
            </w:pPr>
            <w:r w:rsidRPr="00621F53">
              <w:rPr>
                <w:rFonts w:cs="Calibri"/>
                <w:color w:val="000000" w:themeColor="text1"/>
                <w:szCs w:val="22"/>
              </w:rPr>
              <w:t>Manage complex complaints in line with the company’s complaints management process covering both clinical and operational aspects of the service</w:t>
            </w:r>
          </w:p>
          <w:p w14:paraId="0E926FD2"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Ensure all aspects of confidentiality and data protection relating to both the service and individuals are always maintained</w:t>
            </w:r>
          </w:p>
          <w:p w14:paraId="22D8740D" w14:textId="77777777" w:rsidR="00621F53" w:rsidRPr="00621F53" w:rsidRDefault="00621F53" w:rsidP="00621F53">
            <w:pPr>
              <w:pStyle w:val="ListParagraph"/>
              <w:rPr>
                <w:rFonts w:cs="Calibri"/>
                <w:szCs w:val="22"/>
              </w:rPr>
            </w:pPr>
          </w:p>
          <w:p w14:paraId="64E8E95E" w14:textId="77777777" w:rsidR="00621F53" w:rsidRPr="00621F53" w:rsidRDefault="00621F53" w:rsidP="00621F53">
            <w:pPr>
              <w:ind w:left="360"/>
              <w:rPr>
                <w:rFonts w:cs="Calibri"/>
                <w:szCs w:val="22"/>
              </w:rPr>
            </w:pPr>
            <w:r w:rsidRPr="00621F53">
              <w:rPr>
                <w:rFonts w:cs="Calibri"/>
                <w:szCs w:val="22"/>
              </w:rPr>
              <w:t xml:space="preserve">The management of </w:t>
            </w:r>
            <w:r w:rsidRPr="00621F53">
              <w:rPr>
                <w:rFonts w:cs="Calibri"/>
                <w:b/>
                <w:szCs w:val="22"/>
              </w:rPr>
              <w:t>clinical</w:t>
            </w:r>
            <w:r w:rsidRPr="00621F53">
              <w:rPr>
                <w:rFonts w:cs="Calibri"/>
                <w:szCs w:val="22"/>
              </w:rPr>
              <w:t xml:space="preserve"> </w:t>
            </w:r>
            <w:r w:rsidRPr="00621F53">
              <w:rPr>
                <w:rFonts w:cs="Calibri"/>
                <w:b/>
                <w:szCs w:val="22"/>
              </w:rPr>
              <w:t>delivery</w:t>
            </w:r>
            <w:r w:rsidRPr="00621F53">
              <w:rPr>
                <w:rFonts w:cs="Calibri"/>
                <w:szCs w:val="22"/>
              </w:rPr>
              <w:t xml:space="preserve"> within the service:</w:t>
            </w:r>
          </w:p>
          <w:p w14:paraId="564DA266"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Make decisions on suitability of new referrals, adhering to the referral protocols, and refer unsuitable clients on to the relevant service as necessary, with due regard for assessment and management of risk.</w:t>
            </w:r>
          </w:p>
          <w:p w14:paraId="7B5C086E"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 xml:space="preserve">Ensure clear local clinical pathways are in place which reflect best practice and evidence based MSK management. Review and update these at regular intervals and use these to evaluate and benchmark clinical decision making within the team. </w:t>
            </w:r>
          </w:p>
          <w:p w14:paraId="14BC5AF3"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Support the Registered Manager in upholding and maintaining CQC compliance across the service, to include an engagement strategy for service wide accountability to CQC standards via a regular regional CQC/IPC committee or suchlike. Evaluate group therapy programmes with reference to best practice and informed by NICE guideline.</w:t>
            </w:r>
          </w:p>
          <w:p w14:paraId="18F9E0D7"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 xml:space="preserve">Support the service to deliver safe and effective regulated activity such as therapeutic injections. Support in maintaining and regular reviewing the relevant procedures and protocols to allow for this i.e. meds management process, PGD development/sign off, IPC. </w:t>
            </w:r>
          </w:p>
          <w:p w14:paraId="4533534D"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Involve patients and their family members with service improvement initiatives.</w:t>
            </w:r>
          </w:p>
          <w:p w14:paraId="5D0F777B"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Ensure treatment delivery remains accessible and convenient.</w:t>
            </w:r>
          </w:p>
          <w:p w14:paraId="3567809A"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Attend multi-disciplinary meetings relating to referrals or clients in treatment, where appropriate.</w:t>
            </w:r>
          </w:p>
          <w:p w14:paraId="5EBD6265"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Complete all requirements relating to data collection within the service.</w:t>
            </w:r>
          </w:p>
          <w:p w14:paraId="22749D5A"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Keep coherent records of all clinical activity in line with service protocols.</w:t>
            </w:r>
          </w:p>
          <w:p w14:paraId="6EC5454F"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 xml:space="preserve">To undertake risk assessment and risk management when implementing new models of care. </w:t>
            </w:r>
          </w:p>
          <w:p w14:paraId="2100C9B5"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Implementing service developments to keep up with new evidence as it emerges</w:t>
            </w:r>
          </w:p>
          <w:p w14:paraId="3646EEB6"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Ensuring a robust Clinical Supervision framework is in place</w:t>
            </w:r>
          </w:p>
          <w:p w14:paraId="5A407A4E"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Ensure Quality Assurance systems are imbedded at all levels of service delivery</w:t>
            </w:r>
          </w:p>
          <w:p w14:paraId="76A0F965" w14:textId="77777777" w:rsidR="00621F53" w:rsidRPr="00621F53" w:rsidRDefault="00621F53" w:rsidP="00621F53">
            <w:pPr>
              <w:ind w:left="360"/>
              <w:rPr>
                <w:rFonts w:cs="Calibri"/>
                <w:b/>
                <w:bCs/>
                <w:color w:val="000000"/>
                <w:szCs w:val="22"/>
              </w:rPr>
            </w:pPr>
            <w:r w:rsidRPr="00621F53">
              <w:rPr>
                <w:rFonts w:cs="Calibri"/>
                <w:b/>
                <w:bCs/>
                <w:color w:val="000000"/>
                <w:szCs w:val="22"/>
              </w:rPr>
              <w:t>The management of staff within the service:</w:t>
            </w:r>
          </w:p>
          <w:p w14:paraId="188C8996"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Be involved in recruiting new staff to the service</w:t>
            </w:r>
          </w:p>
          <w:p w14:paraId="6286F690" w14:textId="77777777" w:rsidR="00621F53" w:rsidRPr="00621F53" w:rsidRDefault="00621F53" w:rsidP="00621F53">
            <w:pPr>
              <w:pStyle w:val="ListParagraph"/>
              <w:numPr>
                <w:ilvl w:val="0"/>
                <w:numId w:val="12"/>
              </w:numPr>
              <w:spacing w:after="200"/>
              <w:rPr>
                <w:rFonts w:cs="Calibri"/>
                <w:color w:val="000000"/>
                <w:szCs w:val="22"/>
              </w:rPr>
            </w:pPr>
            <w:r w:rsidRPr="00621F53">
              <w:rPr>
                <w:rFonts w:cs="Calibri"/>
                <w:color w:val="000000" w:themeColor="text1"/>
                <w:szCs w:val="22"/>
              </w:rPr>
              <w:t>Support clinical team leads with setting objectives and personal development plans for underperforming clinicians.</w:t>
            </w:r>
          </w:p>
          <w:p w14:paraId="6EADDF8E"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Ensure all staff have the correct level of supervision in line with the supervision policy ensuring that robust arrangements are in place and a solid supervisory structure is maintained for all elements of service delivery</w:t>
            </w:r>
          </w:p>
          <w:p w14:paraId="1F664459" w14:textId="77777777" w:rsidR="00621F53" w:rsidRPr="00621F53" w:rsidRDefault="00621F53" w:rsidP="00621F53">
            <w:pPr>
              <w:ind w:left="360"/>
              <w:rPr>
                <w:rFonts w:cs="Calibri"/>
                <w:b/>
                <w:bCs/>
                <w:szCs w:val="22"/>
              </w:rPr>
            </w:pPr>
            <w:r w:rsidRPr="00621F53">
              <w:rPr>
                <w:rFonts w:cs="Calibri"/>
                <w:b/>
                <w:bCs/>
                <w:szCs w:val="22"/>
              </w:rPr>
              <w:t>Training and continuing development:</w:t>
            </w:r>
          </w:p>
          <w:p w14:paraId="3158C441"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Ensure staff are appropriately skilled and trained to deliver the service</w:t>
            </w:r>
          </w:p>
          <w:p w14:paraId="356DB4C0"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 xml:space="preserve">Ensure that the staff maintain training profiles appropriate to their roles in order to provide a </w:t>
            </w:r>
            <w:proofErr w:type="gramStart"/>
            <w:r w:rsidRPr="00621F53">
              <w:rPr>
                <w:rFonts w:cs="Calibri"/>
                <w:szCs w:val="22"/>
              </w:rPr>
              <w:t>high quality</w:t>
            </w:r>
            <w:proofErr w:type="gramEnd"/>
            <w:r w:rsidRPr="00621F53">
              <w:rPr>
                <w:rFonts w:cs="Calibri"/>
                <w:szCs w:val="22"/>
              </w:rPr>
              <w:t xml:space="preserve"> care which is compliant with CQC fundamental standards.</w:t>
            </w:r>
          </w:p>
          <w:p w14:paraId="4CBBF9FF"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Ensure all staff are participating in CPD, based on self-assessment of therapeutic competences and their appraisals</w:t>
            </w:r>
          </w:p>
          <w:p w14:paraId="62729A14"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Ensure that staff complete the training element of their post</w:t>
            </w:r>
          </w:p>
          <w:p w14:paraId="618DE76D" w14:textId="77777777" w:rsidR="00621F53" w:rsidRPr="00621F53" w:rsidRDefault="00621F53" w:rsidP="00621F53">
            <w:pPr>
              <w:pStyle w:val="ListParagraph"/>
              <w:numPr>
                <w:ilvl w:val="0"/>
                <w:numId w:val="12"/>
              </w:numPr>
              <w:spacing w:after="200"/>
              <w:rPr>
                <w:rFonts w:cs="Calibri"/>
                <w:szCs w:val="22"/>
              </w:rPr>
            </w:pPr>
            <w:r w:rsidRPr="00621F53">
              <w:rPr>
                <w:rFonts w:cs="Calibri"/>
                <w:szCs w:val="22"/>
              </w:rPr>
              <w:t>Contribute to the decision-making process regarding external course funding applications</w:t>
            </w:r>
          </w:p>
          <w:p w14:paraId="61F6F4E0" w14:textId="77777777" w:rsidR="00621F53" w:rsidRPr="00621F53" w:rsidRDefault="00621F53" w:rsidP="00621F53">
            <w:pPr>
              <w:spacing w:before="100" w:after="100" w:line="252" w:lineRule="auto"/>
              <w:rPr>
                <w:rFonts w:cs="Calibri"/>
                <w:szCs w:val="22"/>
              </w:rPr>
            </w:pPr>
            <w:r w:rsidRPr="00621F53">
              <w:rPr>
                <w:rFonts w:cs="Calibri"/>
                <w:szCs w:val="22"/>
              </w:rPr>
              <w:t>Any other reasonable duties as required.</w:t>
            </w:r>
          </w:p>
          <w:p w14:paraId="2875DBCD" w14:textId="77777777" w:rsidR="00621F53" w:rsidRPr="00621F53" w:rsidRDefault="00621F53" w:rsidP="00621F53">
            <w:pPr>
              <w:spacing w:before="100" w:after="100" w:line="252" w:lineRule="auto"/>
              <w:rPr>
                <w:rFonts w:cs="Calibri"/>
                <w:b/>
                <w:bCs/>
                <w:szCs w:val="22"/>
              </w:rPr>
            </w:pPr>
          </w:p>
          <w:p w14:paraId="66F0CF0D" w14:textId="5A1D132F" w:rsidR="00621F53" w:rsidRPr="00621F53" w:rsidRDefault="00621F53" w:rsidP="00621F53">
            <w:pPr>
              <w:spacing w:before="100" w:after="100" w:line="252" w:lineRule="auto"/>
              <w:rPr>
                <w:rFonts w:cs="Calibri"/>
                <w:b/>
                <w:bCs/>
                <w:szCs w:val="22"/>
              </w:rPr>
            </w:pPr>
            <w:r w:rsidRPr="00621F53">
              <w:rPr>
                <w:rFonts w:cs="Calibri"/>
                <w:b/>
                <w:bCs/>
                <w:szCs w:val="22"/>
              </w:rPr>
              <w:t>Equality Diversity &amp; Inclusion (EDI)</w:t>
            </w:r>
          </w:p>
          <w:p w14:paraId="3F4419A1" w14:textId="77777777" w:rsidR="00621F53" w:rsidRPr="00621F53" w:rsidRDefault="00621F53" w:rsidP="00621F53">
            <w:pPr>
              <w:spacing w:before="100" w:after="100" w:line="252" w:lineRule="auto"/>
              <w:rPr>
                <w:rFonts w:cs="Calibri"/>
                <w:szCs w:val="22"/>
              </w:rPr>
            </w:pPr>
            <w:r w:rsidRPr="00621F53">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621F53" w:rsidRPr="00621F53" w:rsidRDefault="00621F53" w:rsidP="00621F53">
            <w:pPr>
              <w:spacing w:before="100" w:after="100" w:line="252" w:lineRule="auto"/>
              <w:rPr>
                <w:rFonts w:cs="Calibri"/>
                <w:szCs w:val="22"/>
              </w:rPr>
            </w:pPr>
          </w:p>
          <w:p w14:paraId="0C4395B4" w14:textId="77777777" w:rsidR="00621F53" w:rsidRPr="00621F53" w:rsidRDefault="00621F53" w:rsidP="00621F53">
            <w:pPr>
              <w:pStyle w:val="ListParagraph"/>
              <w:numPr>
                <w:ilvl w:val="0"/>
                <w:numId w:val="10"/>
              </w:numPr>
              <w:spacing w:before="100" w:after="100" w:line="276" w:lineRule="auto"/>
              <w:rPr>
                <w:rFonts w:cs="Calibri"/>
                <w:szCs w:val="22"/>
              </w:rPr>
            </w:pPr>
            <w:r w:rsidRPr="00621F53">
              <w:rPr>
                <w:rFonts w:cs="Calibri"/>
                <w:szCs w:val="22"/>
              </w:rPr>
              <w:t>Be aware of the impact of your behaviour on others.</w:t>
            </w:r>
          </w:p>
          <w:p w14:paraId="17D2CE3E" w14:textId="77777777" w:rsidR="00621F53" w:rsidRPr="00621F53" w:rsidRDefault="00621F53" w:rsidP="00621F53">
            <w:pPr>
              <w:pStyle w:val="ListParagraph"/>
              <w:numPr>
                <w:ilvl w:val="0"/>
                <w:numId w:val="10"/>
              </w:numPr>
              <w:spacing w:before="100" w:after="100" w:line="276" w:lineRule="auto"/>
              <w:rPr>
                <w:rFonts w:cs="Calibri"/>
                <w:szCs w:val="22"/>
              </w:rPr>
            </w:pPr>
            <w:r w:rsidRPr="00621F53">
              <w:rPr>
                <w:rFonts w:cs="Calibri"/>
                <w:szCs w:val="22"/>
              </w:rPr>
              <w:t>Ensure that others are treated with fairness, dignity, and respect.</w:t>
            </w:r>
          </w:p>
          <w:p w14:paraId="0D3EEEAD" w14:textId="77777777" w:rsidR="00621F53" w:rsidRPr="00621F53" w:rsidRDefault="00621F53" w:rsidP="00621F53">
            <w:pPr>
              <w:pStyle w:val="ListParagraph"/>
              <w:numPr>
                <w:ilvl w:val="0"/>
                <w:numId w:val="10"/>
              </w:numPr>
              <w:spacing w:before="100" w:after="100" w:line="276" w:lineRule="auto"/>
              <w:rPr>
                <w:rFonts w:cs="Calibri"/>
                <w:szCs w:val="22"/>
              </w:rPr>
            </w:pPr>
            <w:r w:rsidRPr="00621F53">
              <w:rPr>
                <w:rFonts w:cs="Calibri"/>
                <w:szCs w:val="22"/>
              </w:rPr>
              <w:t>Maintain and develop your knowledge about what EDI is and why it is important.</w:t>
            </w:r>
          </w:p>
          <w:p w14:paraId="425727A2" w14:textId="77777777" w:rsidR="00621F53" w:rsidRPr="00621F53" w:rsidRDefault="00621F53" w:rsidP="00621F53">
            <w:pPr>
              <w:pStyle w:val="ListParagraph"/>
              <w:numPr>
                <w:ilvl w:val="0"/>
                <w:numId w:val="10"/>
              </w:numPr>
              <w:spacing w:before="100" w:after="100" w:line="276" w:lineRule="auto"/>
              <w:rPr>
                <w:rFonts w:cs="Calibri"/>
                <w:szCs w:val="22"/>
              </w:rPr>
            </w:pPr>
            <w:r w:rsidRPr="00621F53">
              <w:rPr>
                <w:rFonts w:cs="Calibri"/>
                <w:szCs w:val="22"/>
              </w:rPr>
              <w:t>Be prepared to challenge bias, discrimination, and prejudice when possible, and raise with your manager, the EDI &amp; Sustainability team, or the Freedom to Speak Up Guardians.</w:t>
            </w:r>
          </w:p>
          <w:p w14:paraId="249841F4" w14:textId="77777777" w:rsidR="00621F53" w:rsidRPr="00621F53" w:rsidRDefault="00621F53" w:rsidP="00621F53">
            <w:pPr>
              <w:pStyle w:val="ListParagraph"/>
              <w:numPr>
                <w:ilvl w:val="0"/>
                <w:numId w:val="10"/>
              </w:numPr>
              <w:spacing w:before="100" w:after="100" w:line="276" w:lineRule="auto"/>
              <w:rPr>
                <w:rFonts w:cs="Calibri"/>
                <w:szCs w:val="22"/>
              </w:rPr>
            </w:pPr>
            <w:r w:rsidRPr="00621F53">
              <w:rPr>
                <w:rFonts w:cs="Calibri"/>
                <w:szCs w:val="22"/>
              </w:rPr>
              <w:t>Encourage and support others to feel confident in speaking up if they have been subjected to or witnessed bias, discrimination, or prejudice.</w:t>
            </w:r>
          </w:p>
          <w:p w14:paraId="0026E7CA" w14:textId="77777777" w:rsidR="00621F53" w:rsidRPr="00621F53" w:rsidRDefault="00621F53" w:rsidP="00621F53">
            <w:pPr>
              <w:pStyle w:val="ListParagraph"/>
              <w:numPr>
                <w:ilvl w:val="0"/>
                <w:numId w:val="10"/>
              </w:numPr>
              <w:spacing w:before="100" w:after="100" w:line="276" w:lineRule="auto"/>
              <w:rPr>
                <w:rFonts w:cs="Calibri"/>
                <w:szCs w:val="22"/>
              </w:rPr>
            </w:pPr>
            <w:r w:rsidRPr="00621F53">
              <w:rPr>
                <w:rFonts w:cs="Calibri"/>
                <w:szCs w:val="22"/>
              </w:rPr>
              <w:t>Be prepared to speak up for others if you witness bias, discrimination, or prejudice.</w:t>
            </w:r>
          </w:p>
          <w:p w14:paraId="44BDB607" w14:textId="5E2E4696" w:rsidR="00621F53" w:rsidRPr="00621F53" w:rsidRDefault="00621F53" w:rsidP="00621F53">
            <w:pPr>
              <w:pStyle w:val="ListParagraph"/>
              <w:spacing w:before="100" w:after="100"/>
              <w:rPr>
                <w:rFonts w:eastAsia="Tw Cen MT" w:cs="Calibri"/>
                <w:szCs w:val="22"/>
              </w:rPr>
            </w:pPr>
          </w:p>
        </w:tc>
      </w:tr>
      <w:tr w:rsidR="00621F53" w14:paraId="01882A7A" w14:textId="77777777" w:rsidTr="1E5E83AD">
        <w:tc>
          <w:tcPr>
            <w:tcW w:w="3256" w:type="dxa"/>
            <w:vAlign w:val="center"/>
          </w:tcPr>
          <w:p w14:paraId="57B89986" w14:textId="29BAB234" w:rsidR="00621F53" w:rsidRDefault="00621F53" w:rsidP="00621F53">
            <w:pPr>
              <w:spacing w:before="100" w:after="100"/>
            </w:pPr>
            <w:r>
              <w:t>Clinical Governance:</w:t>
            </w:r>
          </w:p>
          <w:p w14:paraId="53E29B26" w14:textId="1892EDC7" w:rsidR="00621F53" w:rsidRDefault="00621F53" w:rsidP="00621F53">
            <w:pPr>
              <w:spacing w:before="100" w:after="100"/>
            </w:pPr>
            <w:r>
              <w:t>(where applicable)</w:t>
            </w:r>
          </w:p>
        </w:tc>
        <w:tc>
          <w:tcPr>
            <w:tcW w:w="6706" w:type="dxa"/>
            <w:vAlign w:val="center"/>
          </w:tcPr>
          <w:p w14:paraId="3766E5BC" w14:textId="77777777" w:rsidR="00621F53" w:rsidRDefault="00621F53" w:rsidP="00621F53">
            <w:pPr>
              <w:spacing w:before="100" w:after="100"/>
            </w:pPr>
          </w:p>
        </w:tc>
      </w:tr>
      <w:tr w:rsidR="00621F53" w14:paraId="3161C07B" w14:textId="77777777" w:rsidTr="1E5E83AD">
        <w:tc>
          <w:tcPr>
            <w:tcW w:w="3256" w:type="dxa"/>
            <w:vAlign w:val="center"/>
          </w:tcPr>
          <w:p w14:paraId="5FD2413E" w14:textId="7A534F40" w:rsidR="00621F53" w:rsidRDefault="00621F53" w:rsidP="00621F53">
            <w:pPr>
              <w:spacing w:before="100" w:after="100"/>
            </w:pPr>
            <w:r>
              <w:t>Training and supervision:</w:t>
            </w:r>
          </w:p>
        </w:tc>
        <w:tc>
          <w:tcPr>
            <w:tcW w:w="6706" w:type="dxa"/>
            <w:vAlign w:val="center"/>
          </w:tcPr>
          <w:p w14:paraId="201DC6D6" w14:textId="183FB023" w:rsidR="00621F53" w:rsidRDefault="00621F53" w:rsidP="00621F53">
            <w:pPr>
              <w:spacing w:before="100" w:after="100"/>
              <w:rPr>
                <w:rFonts w:eastAsia="Calibri" w:cs="Calibri"/>
                <w:sz w:val="21"/>
                <w:szCs w:val="21"/>
              </w:rPr>
            </w:pPr>
          </w:p>
        </w:tc>
      </w:tr>
      <w:tr w:rsidR="00621F53" w14:paraId="4004EF95" w14:textId="77777777" w:rsidTr="1E5E83AD">
        <w:tc>
          <w:tcPr>
            <w:tcW w:w="3256" w:type="dxa"/>
            <w:vAlign w:val="center"/>
          </w:tcPr>
          <w:p w14:paraId="0E220621" w14:textId="69144CB3" w:rsidR="00621F53" w:rsidRDefault="00621F53" w:rsidP="00621F53">
            <w:pPr>
              <w:spacing w:before="100" w:after="100"/>
            </w:pPr>
            <w:r>
              <w:t>Additional information:</w:t>
            </w:r>
          </w:p>
        </w:tc>
        <w:tc>
          <w:tcPr>
            <w:tcW w:w="6706" w:type="dxa"/>
            <w:vAlign w:val="center"/>
          </w:tcPr>
          <w:p w14:paraId="4A51D27D" w14:textId="170BC049" w:rsidR="00621F53" w:rsidRPr="00966F66" w:rsidRDefault="00621F53" w:rsidP="00621F53">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21F53" w:rsidRDefault="00966F66" w:rsidP="00621F53">
            <w:pPr>
              <w:pStyle w:val="BulletListDense"/>
              <w:numPr>
                <w:ilvl w:val="0"/>
                <w:numId w:val="0"/>
              </w:numPr>
              <w:ind w:left="493"/>
              <w:rPr>
                <w:b/>
                <w:bCs/>
                <w:color w:val="FFFFFF" w:themeColor="background1"/>
              </w:rPr>
            </w:pPr>
            <w:r w:rsidRPr="00621F53">
              <w:rPr>
                <w:b/>
                <w:bCs/>
                <w:color w:val="FFFFFF" w:themeColor="background1"/>
              </w:rPr>
              <w:t>Essential</w:t>
            </w:r>
          </w:p>
        </w:tc>
        <w:tc>
          <w:tcPr>
            <w:tcW w:w="3728" w:type="dxa"/>
            <w:shd w:val="clear" w:color="auto" w:fill="00A7CF" w:themeFill="accent1"/>
            <w:vAlign w:val="center"/>
          </w:tcPr>
          <w:p w14:paraId="00AB4B29" w14:textId="2433FAE8" w:rsidR="00966F66" w:rsidRPr="00621F53" w:rsidRDefault="00966F66" w:rsidP="00621F53">
            <w:pPr>
              <w:pStyle w:val="BulletListDense"/>
              <w:numPr>
                <w:ilvl w:val="0"/>
                <w:numId w:val="0"/>
              </w:numPr>
              <w:ind w:left="493"/>
              <w:rPr>
                <w:b/>
                <w:bCs/>
                <w:color w:val="FFFFFF" w:themeColor="background1"/>
              </w:rPr>
            </w:pPr>
            <w:r w:rsidRPr="00621F53">
              <w:rPr>
                <w:b/>
                <w:bCs/>
                <w:color w:val="FFFFFF" w:themeColor="background1"/>
              </w:rPr>
              <w:t>Desirable</w:t>
            </w:r>
          </w:p>
        </w:tc>
      </w:tr>
      <w:tr w:rsidR="00966F66" w:rsidRPr="00621F53" w14:paraId="7DE800C9" w14:textId="77777777" w:rsidTr="1E5E83AD">
        <w:tc>
          <w:tcPr>
            <w:tcW w:w="2405" w:type="dxa"/>
            <w:shd w:val="clear" w:color="auto" w:fill="00A7CF" w:themeFill="accent1"/>
            <w:vAlign w:val="center"/>
          </w:tcPr>
          <w:p w14:paraId="2DEEF40D" w14:textId="792D6E18" w:rsidR="00966F66" w:rsidRPr="00621F53" w:rsidRDefault="00966F66" w:rsidP="00966F66">
            <w:pPr>
              <w:spacing w:beforeLines="80" w:before="192" w:afterLines="80" w:after="192"/>
              <w:rPr>
                <w:rFonts w:cs="Calibri"/>
                <w:b/>
                <w:bCs/>
                <w:color w:val="FFFFFF" w:themeColor="background1"/>
                <w:szCs w:val="22"/>
              </w:rPr>
            </w:pPr>
            <w:r w:rsidRPr="00621F53">
              <w:rPr>
                <w:rFonts w:cs="Calibri"/>
                <w:b/>
                <w:bCs/>
                <w:color w:val="FFFFFF" w:themeColor="background1"/>
                <w:szCs w:val="22"/>
              </w:rPr>
              <w:t>Qualifications</w:t>
            </w:r>
          </w:p>
        </w:tc>
        <w:tc>
          <w:tcPr>
            <w:tcW w:w="3827" w:type="dxa"/>
          </w:tcPr>
          <w:p w14:paraId="330DE01E" w14:textId="77777777" w:rsidR="00621F53" w:rsidRPr="00621F53" w:rsidRDefault="00621F53" w:rsidP="00621F53">
            <w:pPr>
              <w:pStyle w:val="BulletListDense"/>
              <w:numPr>
                <w:ilvl w:val="0"/>
                <w:numId w:val="27"/>
              </w:numPr>
              <w:rPr>
                <w:rFonts w:cs="Calibri"/>
                <w:szCs w:val="22"/>
              </w:rPr>
            </w:pPr>
            <w:r w:rsidRPr="00621F53">
              <w:rPr>
                <w:rFonts w:cs="Calibri"/>
                <w:szCs w:val="22"/>
              </w:rPr>
              <w:t>HCPC registered.</w:t>
            </w:r>
          </w:p>
          <w:p w14:paraId="365BB79D" w14:textId="77777777" w:rsidR="00621F53" w:rsidRPr="00621F53" w:rsidRDefault="00621F53" w:rsidP="00621F53">
            <w:pPr>
              <w:pStyle w:val="BulletListDense"/>
              <w:numPr>
                <w:ilvl w:val="0"/>
                <w:numId w:val="27"/>
              </w:numPr>
              <w:rPr>
                <w:rFonts w:cs="Calibri"/>
                <w:szCs w:val="22"/>
              </w:rPr>
            </w:pPr>
            <w:r w:rsidRPr="00621F53">
              <w:rPr>
                <w:rFonts w:cs="Calibri"/>
                <w:szCs w:val="22"/>
              </w:rPr>
              <w:t>CSP member or equivalent</w:t>
            </w:r>
          </w:p>
          <w:p w14:paraId="4315561D" w14:textId="779FDE45" w:rsidR="00966F66" w:rsidRPr="00621F53" w:rsidRDefault="00621F53" w:rsidP="00621F53">
            <w:pPr>
              <w:pStyle w:val="BulletListDense"/>
              <w:numPr>
                <w:ilvl w:val="0"/>
                <w:numId w:val="27"/>
              </w:numPr>
              <w:rPr>
                <w:rFonts w:cs="Calibri"/>
                <w:szCs w:val="22"/>
              </w:rPr>
            </w:pPr>
            <w:r w:rsidRPr="00621F53">
              <w:rPr>
                <w:rFonts w:cs="Calibri"/>
                <w:szCs w:val="22"/>
              </w:rPr>
              <w:t>Physiotherapist/ Osteopath/ or other relevant MSK professionals can be considered.</w:t>
            </w:r>
          </w:p>
        </w:tc>
        <w:tc>
          <w:tcPr>
            <w:tcW w:w="3728" w:type="dxa"/>
          </w:tcPr>
          <w:p w14:paraId="7E327A6F"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Clinical assessment and triage experience. </w:t>
            </w:r>
          </w:p>
          <w:p w14:paraId="718FE0AB"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Injection therapist </w:t>
            </w:r>
          </w:p>
          <w:p w14:paraId="37AAF323"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Ultrasonography </w:t>
            </w:r>
          </w:p>
          <w:p w14:paraId="249563A3" w14:textId="343E58A9" w:rsidR="00966F66" w:rsidRPr="00621F53" w:rsidRDefault="00621F53" w:rsidP="00621F53">
            <w:pPr>
              <w:pStyle w:val="BulletListDense"/>
              <w:numPr>
                <w:ilvl w:val="0"/>
                <w:numId w:val="27"/>
              </w:numPr>
              <w:rPr>
                <w:rFonts w:cs="Calibri"/>
                <w:szCs w:val="22"/>
              </w:rPr>
            </w:pPr>
            <w:r w:rsidRPr="00621F53">
              <w:rPr>
                <w:rFonts w:cs="Calibri"/>
                <w:szCs w:val="22"/>
              </w:rPr>
              <w:t xml:space="preserve">Independent prescriber.   </w:t>
            </w:r>
          </w:p>
        </w:tc>
      </w:tr>
      <w:tr w:rsidR="00966F66" w:rsidRPr="00621F53" w14:paraId="510D568C" w14:textId="77777777" w:rsidTr="1E5E83AD">
        <w:tc>
          <w:tcPr>
            <w:tcW w:w="2405" w:type="dxa"/>
            <w:shd w:val="clear" w:color="auto" w:fill="00A7CF" w:themeFill="accent1"/>
            <w:vAlign w:val="center"/>
          </w:tcPr>
          <w:p w14:paraId="5FFE56D6" w14:textId="5EE58A6C" w:rsidR="00966F66" w:rsidRPr="00621F53" w:rsidRDefault="00966F66" w:rsidP="00966F66">
            <w:pPr>
              <w:spacing w:beforeLines="80" w:before="192" w:afterLines="80" w:after="192"/>
              <w:rPr>
                <w:rFonts w:cs="Calibri"/>
                <w:b/>
                <w:bCs/>
                <w:color w:val="FFFFFF" w:themeColor="background1"/>
                <w:szCs w:val="22"/>
              </w:rPr>
            </w:pPr>
            <w:r w:rsidRPr="00621F53">
              <w:rPr>
                <w:rFonts w:cs="Calibri"/>
                <w:b/>
                <w:bCs/>
                <w:color w:val="FFFFFF" w:themeColor="background1"/>
                <w:szCs w:val="22"/>
              </w:rPr>
              <w:t>Experience</w:t>
            </w:r>
          </w:p>
        </w:tc>
        <w:tc>
          <w:tcPr>
            <w:tcW w:w="3827" w:type="dxa"/>
          </w:tcPr>
          <w:p w14:paraId="7EDDADBE"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Minimum 5 years NHS MSK experience. </w:t>
            </w:r>
          </w:p>
          <w:p w14:paraId="195F5839" w14:textId="77777777" w:rsidR="00621F53" w:rsidRPr="00621F53" w:rsidRDefault="00621F53" w:rsidP="00621F53">
            <w:pPr>
              <w:pStyle w:val="BulletListDense"/>
              <w:numPr>
                <w:ilvl w:val="0"/>
                <w:numId w:val="27"/>
              </w:numPr>
              <w:rPr>
                <w:rFonts w:cs="Calibri"/>
                <w:szCs w:val="22"/>
              </w:rPr>
            </w:pPr>
            <w:r w:rsidRPr="00621F53">
              <w:rPr>
                <w:rFonts w:cs="Calibri"/>
                <w:szCs w:val="22"/>
              </w:rPr>
              <w:t>Well-developed experience of working with a wide range of MSK problems within a therapeutic model</w:t>
            </w:r>
          </w:p>
          <w:p w14:paraId="79C84278"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Experience of performance management </w:t>
            </w:r>
          </w:p>
          <w:p w14:paraId="12AAE58A" w14:textId="77777777" w:rsidR="00621F53" w:rsidRPr="00621F53" w:rsidRDefault="00621F53" w:rsidP="00621F53">
            <w:pPr>
              <w:pStyle w:val="BulletListDense"/>
              <w:numPr>
                <w:ilvl w:val="0"/>
                <w:numId w:val="27"/>
              </w:numPr>
              <w:rPr>
                <w:rFonts w:cs="Calibri"/>
                <w:szCs w:val="22"/>
              </w:rPr>
            </w:pPr>
            <w:r w:rsidRPr="00621F53">
              <w:rPr>
                <w:rFonts w:cs="Calibri"/>
                <w:szCs w:val="22"/>
              </w:rPr>
              <w:t>Experience in providing training/ overseeing students</w:t>
            </w:r>
          </w:p>
          <w:p w14:paraId="4134A0FF" w14:textId="77777777" w:rsidR="00621F53" w:rsidRPr="00621F53" w:rsidRDefault="00621F53" w:rsidP="00621F53">
            <w:pPr>
              <w:pStyle w:val="BulletListDense"/>
              <w:numPr>
                <w:ilvl w:val="0"/>
                <w:numId w:val="27"/>
              </w:numPr>
              <w:rPr>
                <w:rFonts w:cs="Calibri"/>
                <w:szCs w:val="22"/>
              </w:rPr>
            </w:pPr>
            <w:r w:rsidRPr="00621F53">
              <w:rPr>
                <w:rFonts w:cs="Calibri"/>
                <w:szCs w:val="22"/>
              </w:rPr>
              <w:t>Experience in line management and supervision of clinical staff</w:t>
            </w:r>
          </w:p>
          <w:p w14:paraId="1B112384" w14:textId="77777777" w:rsidR="00621F53" w:rsidRPr="00621F53" w:rsidRDefault="00621F53" w:rsidP="00621F53">
            <w:pPr>
              <w:pStyle w:val="BulletListDense"/>
              <w:numPr>
                <w:ilvl w:val="0"/>
                <w:numId w:val="27"/>
              </w:numPr>
              <w:rPr>
                <w:rFonts w:cs="Calibri"/>
                <w:szCs w:val="22"/>
              </w:rPr>
            </w:pPr>
            <w:r w:rsidRPr="00621F53">
              <w:rPr>
                <w:rFonts w:cs="Calibri"/>
                <w:szCs w:val="22"/>
              </w:rPr>
              <w:t>Experience of working within multi-disciplinary and multi-cultural settings</w:t>
            </w:r>
          </w:p>
          <w:p w14:paraId="7B8C405D" w14:textId="77777777" w:rsidR="00621F53" w:rsidRPr="00621F53" w:rsidRDefault="00621F53" w:rsidP="00621F53">
            <w:pPr>
              <w:pStyle w:val="BulletListDense"/>
              <w:numPr>
                <w:ilvl w:val="0"/>
                <w:numId w:val="27"/>
              </w:numPr>
              <w:rPr>
                <w:rFonts w:cs="Calibri"/>
                <w:szCs w:val="22"/>
              </w:rPr>
            </w:pPr>
            <w:r w:rsidRPr="00621F53">
              <w:rPr>
                <w:rFonts w:cs="Calibri"/>
                <w:szCs w:val="22"/>
              </w:rPr>
              <w:t>Experience of generating policy and procedural working practices</w:t>
            </w:r>
          </w:p>
          <w:p w14:paraId="3B562B01" w14:textId="4E8E1F94" w:rsidR="00966F66" w:rsidRPr="00621F53" w:rsidRDefault="00621F53" w:rsidP="00621F53">
            <w:pPr>
              <w:pStyle w:val="BulletListDense"/>
              <w:numPr>
                <w:ilvl w:val="0"/>
                <w:numId w:val="27"/>
              </w:numPr>
              <w:rPr>
                <w:rFonts w:eastAsia="Times New Roman" w:cs="Calibri"/>
                <w:color w:val="333333"/>
                <w:szCs w:val="22"/>
                <w:lang w:eastAsia="en-GB"/>
              </w:rPr>
            </w:pPr>
            <w:r w:rsidRPr="00621F53">
              <w:rPr>
                <w:rFonts w:cs="Calibri"/>
                <w:szCs w:val="22"/>
              </w:rPr>
              <w:t>Experience of undertaking evaluation</w:t>
            </w:r>
          </w:p>
        </w:tc>
        <w:tc>
          <w:tcPr>
            <w:tcW w:w="3728" w:type="dxa"/>
          </w:tcPr>
          <w:p w14:paraId="0CB8A008" w14:textId="77777777" w:rsidR="00621F53" w:rsidRPr="00621F53" w:rsidRDefault="00621F53" w:rsidP="00621F53">
            <w:pPr>
              <w:pStyle w:val="BulletListDense"/>
              <w:numPr>
                <w:ilvl w:val="0"/>
                <w:numId w:val="27"/>
              </w:numPr>
              <w:rPr>
                <w:rFonts w:cs="Calibri"/>
                <w:szCs w:val="22"/>
              </w:rPr>
            </w:pPr>
            <w:r w:rsidRPr="00621F53">
              <w:rPr>
                <w:rFonts w:cs="Calibri"/>
                <w:szCs w:val="22"/>
              </w:rPr>
              <w:t>Experience of working at a leadership level within an MSK service</w:t>
            </w:r>
          </w:p>
          <w:p w14:paraId="73BCA857" w14:textId="21DFFF0B" w:rsidR="00966F66" w:rsidRPr="00621F53" w:rsidRDefault="00621F53" w:rsidP="00621F53">
            <w:pPr>
              <w:pStyle w:val="BulletListDense"/>
              <w:numPr>
                <w:ilvl w:val="0"/>
                <w:numId w:val="27"/>
              </w:numPr>
              <w:rPr>
                <w:rFonts w:eastAsia="Times New Roman" w:cs="Calibri"/>
                <w:color w:val="333333"/>
                <w:szCs w:val="22"/>
                <w:lang w:eastAsia="en-GB"/>
              </w:rPr>
            </w:pPr>
            <w:r w:rsidRPr="00621F53">
              <w:rPr>
                <w:rFonts w:cs="Calibri"/>
                <w:szCs w:val="22"/>
              </w:rPr>
              <w:t>Experience of working within a Clinical Assessment and Triage service</w:t>
            </w:r>
          </w:p>
        </w:tc>
      </w:tr>
      <w:tr w:rsidR="00966F66" w:rsidRPr="00621F53" w14:paraId="6F5BC3B6" w14:textId="77777777" w:rsidTr="1E5E83AD">
        <w:tc>
          <w:tcPr>
            <w:tcW w:w="2405" w:type="dxa"/>
            <w:shd w:val="clear" w:color="auto" w:fill="00A7CF" w:themeFill="accent1"/>
            <w:vAlign w:val="center"/>
          </w:tcPr>
          <w:p w14:paraId="4FD1675D" w14:textId="26FC4D3E" w:rsidR="00966F66" w:rsidRPr="00621F53" w:rsidRDefault="00966F66" w:rsidP="00966F66">
            <w:pPr>
              <w:spacing w:beforeLines="80" w:before="192" w:afterLines="80" w:after="192"/>
              <w:rPr>
                <w:rFonts w:cs="Calibri"/>
                <w:b/>
                <w:bCs/>
                <w:color w:val="FFFFFF" w:themeColor="background1"/>
                <w:szCs w:val="22"/>
              </w:rPr>
            </w:pPr>
            <w:r w:rsidRPr="00621F53">
              <w:rPr>
                <w:rFonts w:cs="Calibri"/>
                <w:b/>
                <w:bCs/>
                <w:color w:val="FFFFFF" w:themeColor="background1"/>
                <w:szCs w:val="22"/>
              </w:rPr>
              <w:t>Skills/knowledge</w:t>
            </w:r>
          </w:p>
        </w:tc>
        <w:tc>
          <w:tcPr>
            <w:tcW w:w="3827" w:type="dxa"/>
          </w:tcPr>
          <w:p w14:paraId="139BF979" w14:textId="77777777" w:rsidR="00621F53" w:rsidRPr="00621F53" w:rsidRDefault="00621F53" w:rsidP="00621F53">
            <w:pPr>
              <w:pStyle w:val="BulletListDense"/>
              <w:numPr>
                <w:ilvl w:val="0"/>
                <w:numId w:val="27"/>
              </w:numPr>
              <w:rPr>
                <w:rFonts w:cs="Calibri"/>
                <w:szCs w:val="22"/>
              </w:rPr>
            </w:pPr>
            <w:r w:rsidRPr="00621F53">
              <w:rPr>
                <w:rFonts w:cs="Calibri"/>
                <w:szCs w:val="22"/>
              </w:rPr>
              <w:t>Knowledge of primary, intermediate and secondary care MSK services</w:t>
            </w:r>
          </w:p>
          <w:p w14:paraId="2F77305B" w14:textId="61BE5B84" w:rsidR="00E32957" w:rsidRPr="00621F53" w:rsidRDefault="00621F53" w:rsidP="00621F53">
            <w:pPr>
              <w:pStyle w:val="BulletListDense"/>
              <w:numPr>
                <w:ilvl w:val="0"/>
                <w:numId w:val="27"/>
              </w:numPr>
              <w:rPr>
                <w:rFonts w:cs="Calibri"/>
                <w:szCs w:val="22"/>
                <w:lang w:eastAsia="en-GB"/>
              </w:rPr>
            </w:pPr>
            <w:r w:rsidRPr="00621F53">
              <w:rPr>
                <w:rFonts w:cs="Calibri"/>
                <w:szCs w:val="22"/>
              </w:rPr>
              <w:t xml:space="preserve">Understanding of NICE guidance relating to MSK/ </w:t>
            </w:r>
            <w:proofErr w:type="spellStart"/>
            <w:r w:rsidRPr="00621F53">
              <w:rPr>
                <w:rFonts w:cs="Calibri"/>
                <w:szCs w:val="22"/>
              </w:rPr>
              <w:t>BestMSK</w:t>
            </w:r>
            <w:proofErr w:type="spellEnd"/>
            <w:r w:rsidRPr="00621F53">
              <w:rPr>
                <w:rFonts w:cs="Calibri"/>
                <w:szCs w:val="22"/>
              </w:rPr>
              <w:t xml:space="preserve"> collaborative/ GIRFT MSK pathways</w:t>
            </w:r>
          </w:p>
        </w:tc>
        <w:tc>
          <w:tcPr>
            <w:tcW w:w="3728" w:type="dxa"/>
          </w:tcPr>
          <w:p w14:paraId="03C4268D" w14:textId="77777777" w:rsidR="00966F66" w:rsidRPr="00621F53" w:rsidRDefault="0020008F" w:rsidP="00621F53">
            <w:pPr>
              <w:pStyle w:val="BulletListDense"/>
              <w:numPr>
                <w:ilvl w:val="0"/>
                <w:numId w:val="27"/>
              </w:numPr>
              <w:rPr>
                <w:rFonts w:eastAsia="Calibri" w:cs="Calibri"/>
                <w:szCs w:val="22"/>
              </w:rPr>
            </w:pPr>
            <w:r w:rsidRPr="00621F53">
              <w:rPr>
                <w:rFonts w:eastAsia="Calibri" w:cs="Calibri"/>
                <w:szCs w:val="22"/>
              </w:rPr>
              <w:t>Speaks another language</w:t>
            </w:r>
          </w:p>
          <w:p w14:paraId="0A86D72C" w14:textId="1707A0D4" w:rsidR="00621F53" w:rsidRPr="00621F53" w:rsidRDefault="00621F53" w:rsidP="00621F53">
            <w:pPr>
              <w:pStyle w:val="BulletListDense"/>
              <w:numPr>
                <w:ilvl w:val="0"/>
                <w:numId w:val="27"/>
              </w:numPr>
              <w:rPr>
                <w:rFonts w:eastAsia="Calibri" w:cs="Calibri"/>
                <w:szCs w:val="22"/>
              </w:rPr>
            </w:pPr>
            <w:r w:rsidRPr="00621F53">
              <w:rPr>
                <w:rFonts w:cs="Calibri"/>
                <w:szCs w:val="22"/>
              </w:rPr>
              <w:t>Understanding of NHS MSK contractual models.</w:t>
            </w:r>
          </w:p>
        </w:tc>
      </w:tr>
      <w:tr w:rsidR="00966F66" w:rsidRPr="00621F53" w14:paraId="3D08C80E" w14:textId="77777777" w:rsidTr="1E5E83AD">
        <w:tc>
          <w:tcPr>
            <w:tcW w:w="2405" w:type="dxa"/>
            <w:shd w:val="clear" w:color="auto" w:fill="00A7CF" w:themeFill="accent1"/>
            <w:vAlign w:val="center"/>
          </w:tcPr>
          <w:p w14:paraId="0880672C" w14:textId="0D3903F0" w:rsidR="00966F66" w:rsidRPr="00621F53" w:rsidRDefault="00966F66" w:rsidP="00966F66">
            <w:pPr>
              <w:spacing w:beforeLines="80" w:before="192" w:afterLines="80" w:after="192"/>
              <w:rPr>
                <w:rFonts w:cs="Calibri"/>
                <w:b/>
                <w:bCs/>
                <w:color w:val="FFFFFF" w:themeColor="background1"/>
                <w:szCs w:val="22"/>
              </w:rPr>
            </w:pPr>
            <w:r w:rsidRPr="00621F53">
              <w:rPr>
                <w:rFonts w:cs="Calibri"/>
                <w:b/>
                <w:bCs/>
                <w:color w:val="FFFFFF" w:themeColor="background1"/>
                <w:szCs w:val="22"/>
              </w:rPr>
              <w:t>Specialist training</w:t>
            </w:r>
          </w:p>
        </w:tc>
        <w:tc>
          <w:tcPr>
            <w:tcW w:w="3827" w:type="dxa"/>
          </w:tcPr>
          <w:p w14:paraId="4102B15E" w14:textId="77777777" w:rsidR="00966F66" w:rsidRPr="00621F53" w:rsidRDefault="00966F66" w:rsidP="00621F53">
            <w:pPr>
              <w:pStyle w:val="BulletListDense"/>
              <w:numPr>
                <w:ilvl w:val="0"/>
                <w:numId w:val="27"/>
              </w:numPr>
              <w:rPr>
                <w:rFonts w:cs="Calibri"/>
                <w:szCs w:val="22"/>
              </w:rPr>
            </w:pPr>
          </w:p>
        </w:tc>
        <w:tc>
          <w:tcPr>
            <w:tcW w:w="3728" w:type="dxa"/>
          </w:tcPr>
          <w:p w14:paraId="1F5B2756" w14:textId="77777777" w:rsidR="00966F66" w:rsidRPr="00621F53" w:rsidRDefault="00966F66" w:rsidP="00621F53">
            <w:pPr>
              <w:pStyle w:val="BulletListDense"/>
              <w:numPr>
                <w:ilvl w:val="0"/>
                <w:numId w:val="27"/>
              </w:numPr>
              <w:rPr>
                <w:rFonts w:cs="Calibri"/>
                <w:szCs w:val="22"/>
              </w:rPr>
            </w:pPr>
          </w:p>
        </w:tc>
      </w:tr>
      <w:tr w:rsidR="00966F66" w:rsidRPr="00621F53" w14:paraId="37E339A4" w14:textId="77777777" w:rsidTr="1E5E83AD">
        <w:tc>
          <w:tcPr>
            <w:tcW w:w="2405" w:type="dxa"/>
            <w:shd w:val="clear" w:color="auto" w:fill="00A7CF" w:themeFill="accent1"/>
            <w:vAlign w:val="center"/>
          </w:tcPr>
          <w:p w14:paraId="44C3AE1E" w14:textId="5F58C76E" w:rsidR="00966F66" w:rsidRPr="00621F53" w:rsidRDefault="00966F66" w:rsidP="00966F66">
            <w:pPr>
              <w:spacing w:beforeLines="80" w:before="192" w:afterLines="80" w:after="192"/>
              <w:rPr>
                <w:rFonts w:cs="Calibri"/>
                <w:b/>
                <w:bCs/>
                <w:color w:val="FFFFFF" w:themeColor="background1"/>
                <w:szCs w:val="22"/>
              </w:rPr>
            </w:pPr>
            <w:r w:rsidRPr="00621F53">
              <w:rPr>
                <w:rFonts w:cs="Calibri"/>
                <w:b/>
                <w:bCs/>
                <w:color w:val="FFFFFF" w:themeColor="background1"/>
                <w:szCs w:val="22"/>
              </w:rPr>
              <w:t>Personal competencies and qualities</w:t>
            </w:r>
          </w:p>
        </w:tc>
        <w:tc>
          <w:tcPr>
            <w:tcW w:w="3827" w:type="dxa"/>
          </w:tcPr>
          <w:p w14:paraId="2A9A3DDE"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Inclusive leadership skills </w:t>
            </w:r>
          </w:p>
          <w:p w14:paraId="7A442684" w14:textId="77777777" w:rsidR="00621F53" w:rsidRPr="00621F53" w:rsidRDefault="00621F53" w:rsidP="00621F53">
            <w:pPr>
              <w:pStyle w:val="BulletListDense"/>
              <w:numPr>
                <w:ilvl w:val="0"/>
                <w:numId w:val="27"/>
              </w:numPr>
              <w:rPr>
                <w:rFonts w:cs="Calibri"/>
                <w:szCs w:val="22"/>
              </w:rPr>
            </w:pPr>
            <w:r w:rsidRPr="00621F53">
              <w:rPr>
                <w:rFonts w:cs="Calibri"/>
                <w:szCs w:val="22"/>
              </w:rPr>
              <w:t>A committed and professional approach to work</w:t>
            </w:r>
          </w:p>
          <w:p w14:paraId="238690FD" w14:textId="77777777" w:rsidR="00621F53" w:rsidRPr="00621F53" w:rsidRDefault="00621F53" w:rsidP="00621F53">
            <w:pPr>
              <w:pStyle w:val="BulletListDense"/>
              <w:numPr>
                <w:ilvl w:val="0"/>
                <w:numId w:val="27"/>
              </w:numPr>
              <w:rPr>
                <w:rFonts w:cs="Calibri"/>
                <w:szCs w:val="22"/>
              </w:rPr>
            </w:pPr>
            <w:r w:rsidRPr="00621F53">
              <w:rPr>
                <w:rFonts w:cs="Calibri"/>
                <w:szCs w:val="22"/>
              </w:rPr>
              <w:t>Highly effective communication skills, presentational, general verbal and written</w:t>
            </w:r>
          </w:p>
          <w:p w14:paraId="7C74F746"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Computer/ Information Technology skills </w:t>
            </w:r>
          </w:p>
          <w:p w14:paraId="2E3F2F91" w14:textId="77777777" w:rsidR="00621F53" w:rsidRPr="00621F53" w:rsidRDefault="00621F53" w:rsidP="00621F53">
            <w:pPr>
              <w:pStyle w:val="BulletListDense"/>
              <w:numPr>
                <w:ilvl w:val="0"/>
                <w:numId w:val="27"/>
              </w:numPr>
              <w:rPr>
                <w:rFonts w:cs="Calibri"/>
                <w:szCs w:val="22"/>
              </w:rPr>
            </w:pPr>
            <w:r w:rsidRPr="00621F53">
              <w:rPr>
                <w:rFonts w:cs="Calibri"/>
                <w:szCs w:val="22"/>
              </w:rPr>
              <w:t>Ability to work under pressure</w:t>
            </w:r>
          </w:p>
          <w:p w14:paraId="4910A052"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Ability to be a team player </w:t>
            </w:r>
          </w:p>
          <w:p w14:paraId="1DE3510B"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Good organisational and time management skills </w:t>
            </w:r>
          </w:p>
          <w:p w14:paraId="34A8D203" w14:textId="77777777" w:rsidR="00621F53" w:rsidRPr="00621F53" w:rsidRDefault="00621F53" w:rsidP="00621F53">
            <w:pPr>
              <w:pStyle w:val="BulletListDense"/>
              <w:numPr>
                <w:ilvl w:val="0"/>
                <w:numId w:val="27"/>
              </w:numPr>
              <w:rPr>
                <w:rFonts w:cs="Calibri"/>
                <w:szCs w:val="22"/>
              </w:rPr>
            </w:pPr>
            <w:r w:rsidRPr="00621F53">
              <w:rPr>
                <w:rFonts w:cs="Calibri"/>
                <w:szCs w:val="22"/>
              </w:rPr>
              <w:t xml:space="preserve">Willingness to abide by the company and service principles, policies and procedures </w:t>
            </w:r>
          </w:p>
          <w:p w14:paraId="21FB89F2" w14:textId="4B8D8DB6" w:rsidR="00966F66" w:rsidRPr="00621F53" w:rsidRDefault="00621F53" w:rsidP="00621F53">
            <w:pPr>
              <w:pStyle w:val="BulletListDense"/>
              <w:numPr>
                <w:ilvl w:val="0"/>
                <w:numId w:val="27"/>
              </w:numPr>
              <w:rPr>
                <w:rFonts w:cs="Calibri"/>
                <w:szCs w:val="22"/>
              </w:rPr>
            </w:pPr>
            <w:r w:rsidRPr="00621F53">
              <w:rPr>
                <w:rFonts w:cs="Calibri"/>
                <w:szCs w:val="22"/>
              </w:rPr>
              <w:t>Must be legally entitled to accept and perform work in the UK</w:t>
            </w:r>
          </w:p>
        </w:tc>
        <w:tc>
          <w:tcPr>
            <w:tcW w:w="3728" w:type="dxa"/>
          </w:tcPr>
          <w:p w14:paraId="49E7C29C" w14:textId="77777777" w:rsidR="00966F66" w:rsidRPr="00621F53" w:rsidRDefault="00966F66" w:rsidP="00621F53">
            <w:pPr>
              <w:pStyle w:val="BulletListDense"/>
              <w:numPr>
                <w:ilvl w:val="0"/>
                <w:numId w:val="27"/>
              </w:numPr>
              <w:rPr>
                <w:rFonts w:cs="Calibri"/>
                <w:szCs w:val="22"/>
              </w:rPr>
            </w:pPr>
          </w:p>
        </w:tc>
      </w:tr>
    </w:tbl>
    <w:p w14:paraId="0ED9B29F" w14:textId="63FCABCC" w:rsidR="00966F66" w:rsidRPr="00621F53" w:rsidRDefault="00966F66" w:rsidP="00966F66">
      <w:pPr>
        <w:rPr>
          <w:rFonts w:cs="Calibri"/>
          <w:szCs w:val="22"/>
        </w:rPr>
      </w:pPr>
      <w:r w:rsidRPr="00621F53">
        <w:rPr>
          <w:rFonts w:cs="Calibri"/>
          <w:szCs w:val="22"/>
        </w:rP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21F5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21F5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21F5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C4D79B" w:rsidR="005E1013" w:rsidRPr="004A6AA8" w:rsidRDefault="00621F5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NHS MSK Clinical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C4D79B" w:rsidR="005E1013" w:rsidRPr="004A6AA8" w:rsidRDefault="00621F5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NHS MSK Clinical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BB03608" w:rsidR="00AD6216" w:rsidRPr="004A6AA8" w:rsidRDefault="00621F5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NHS MSK Clinical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BB03608" w:rsidR="00AD6216" w:rsidRPr="004A6AA8" w:rsidRDefault="00621F5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NHS MSK Clinical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971B26"/>
    <w:multiLevelType w:val="hybridMultilevel"/>
    <w:tmpl w:val="6A1E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24955"/>
    <w:multiLevelType w:val="hybridMultilevel"/>
    <w:tmpl w:val="24B82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44C95"/>
    <w:multiLevelType w:val="hybridMultilevel"/>
    <w:tmpl w:val="3F063F08"/>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E58E1"/>
    <w:multiLevelType w:val="hybridMultilevel"/>
    <w:tmpl w:val="0ABAE8FC"/>
    <w:lvl w:ilvl="0" w:tplc="6316D51C">
      <w:start w:val="1"/>
      <w:numFmt w:val="bullet"/>
      <w:lvlText w:val=""/>
      <w:lvlPicBulletId w:val="0"/>
      <w:lvlJc w:val="left"/>
      <w:pPr>
        <w:ind w:left="1213" w:hanging="360"/>
      </w:pPr>
      <w:rPr>
        <w:rFonts w:ascii="Symbol" w:hAnsi="Symbol" w:hint="default"/>
        <w:color w:val="auto"/>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9" w15:restartNumberingAfterBreak="0">
    <w:nsid w:val="19FA3073"/>
    <w:multiLevelType w:val="hybridMultilevel"/>
    <w:tmpl w:val="D062B6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57F84"/>
    <w:multiLevelType w:val="hybridMultilevel"/>
    <w:tmpl w:val="0E5C61A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4CC1"/>
    <w:multiLevelType w:val="hybridMultilevel"/>
    <w:tmpl w:val="8FFE8D28"/>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7C23A3B"/>
    <w:multiLevelType w:val="hybridMultilevel"/>
    <w:tmpl w:val="50982A42"/>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D7573A"/>
    <w:multiLevelType w:val="hybridMultilevel"/>
    <w:tmpl w:val="7D5EE7FA"/>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3E772A76"/>
    <w:multiLevelType w:val="hybridMultilevel"/>
    <w:tmpl w:val="4A864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7A6B8D"/>
    <w:multiLevelType w:val="hybridMultilevel"/>
    <w:tmpl w:val="6F5A50A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4E8418C"/>
    <w:multiLevelType w:val="hybridMultilevel"/>
    <w:tmpl w:val="C50254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85947"/>
    <w:multiLevelType w:val="hybridMultilevel"/>
    <w:tmpl w:val="26F85F34"/>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83A763F"/>
    <w:multiLevelType w:val="hybridMultilevel"/>
    <w:tmpl w:val="916ED55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254F5B"/>
    <w:multiLevelType w:val="hybridMultilevel"/>
    <w:tmpl w:val="34FCF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173A89"/>
    <w:multiLevelType w:val="hybridMultilevel"/>
    <w:tmpl w:val="F6581F06"/>
    <w:lvl w:ilvl="0" w:tplc="7E46C688">
      <w:start w:val="1"/>
      <w:numFmt w:val="bullet"/>
      <w:pStyle w:val="BulletListDense"/>
      <w:lvlText w:val=""/>
      <w:lvlJc w:val="left"/>
      <w:pPr>
        <w:ind w:left="853" w:hanging="360"/>
      </w:p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B254A"/>
    <w:multiLevelType w:val="hybridMultilevel"/>
    <w:tmpl w:val="7BB650C8"/>
    <w:lvl w:ilvl="0" w:tplc="6316D51C">
      <w:start w:val="1"/>
      <w:numFmt w:val="bullet"/>
      <w:lvlText w:val=""/>
      <w:lvlPicBulletId w:val="0"/>
      <w:lvlJc w:val="left"/>
      <w:pPr>
        <w:ind w:left="1213" w:hanging="360"/>
      </w:pPr>
      <w:rPr>
        <w:rFonts w:ascii="Symbol" w:hAnsi="Symbol" w:hint="default"/>
        <w:color w:val="auto"/>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6" w15:restartNumberingAfterBreak="0">
    <w:nsid w:val="7E2E000B"/>
    <w:multiLevelType w:val="hybridMultilevel"/>
    <w:tmpl w:val="B900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12"/>
  </w:num>
  <w:num w:numId="2" w16cid:durableId="1050689023">
    <w:abstractNumId w:val="13"/>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22"/>
  </w:num>
  <w:num w:numId="8" w16cid:durableId="700788950">
    <w:abstractNumId w:val="23"/>
  </w:num>
  <w:num w:numId="9" w16cid:durableId="1191339356">
    <w:abstractNumId w:val="24"/>
  </w:num>
  <w:num w:numId="10" w16cid:durableId="313796613">
    <w:abstractNumId w:val="7"/>
  </w:num>
  <w:num w:numId="11" w16cid:durableId="1012224789">
    <w:abstractNumId w:val="26"/>
  </w:num>
  <w:num w:numId="12" w16cid:durableId="550307348">
    <w:abstractNumId w:val="10"/>
  </w:num>
  <w:num w:numId="13" w16cid:durableId="802581047">
    <w:abstractNumId w:val="19"/>
  </w:num>
  <w:num w:numId="14" w16cid:durableId="486437169">
    <w:abstractNumId w:val="14"/>
  </w:num>
  <w:num w:numId="15" w16cid:durableId="1026100368">
    <w:abstractNumId w:val="6"/>
  </w:num>
  <w:num w:numId="16" w16cid:durableId="1483887072">
    <w:abstractNumId w:val="17"/>
  </w:num>
  <w:num w:numId="17" w16cid:durableId="2000227350">
    <w:abstractNumId w:val="4"/>
  </w:num>
  <w:num w:numId="18" w16cid:durableId="795370042">
    <w:abstractNumId w:val="5"/>
  </w:num>
  <w:num w:numId="19" w16cid:durableId="11997194">
    <w:abstractNumId w:val="21"/>
  </w:num>
  <w:num w:numId="20" w16cid:durableId="781922217">
    <w:abstractNumId w:val="8"/>
  </w:num>
  <w:num w:numId="21" w16cid:durableId="2105417868">
    <w:abstractNumId w:val="20"/>
  </w:num>
  <w:num w:numId="22" w16cid:durableId="228272846">
    <w:abstractNumId w:val="16"/>
  </w:num>
  <w:num w:numId="23" w16cid:durableId="1697921294">
    <w:abstractNumId w:val="25"/>
  </w:num>
  <w:num w:numId="24" w16cid:durableId="297883651">
    <w:abstractNumId w:val="18"/>
  </w:num>
  <w:num w:numId="25" w16cid:durableId="269509218">
    <w:abstractNumId w:val="9"/>
  </w:num>
  <w:num w:numId="26" w16cid:durableId="608395431">
    <w:abstractNumId w:val="11"/>
  </w:num>
  <w:num w:numId="27" w16cid:durableId="28272977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079E"/>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21F53"/>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1F07"/>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0224"/>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9328A4"/>
    <w:rsid w:val="00CB6CF1"/>
    <w:rsid w:val="00D43D3B"/>
    <w:rsid w:val="00D60224"/>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TotalTime>
  <Pages>7</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Clinical Lead</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2025-03-21T13:01:00Z</dcterms:created>
  <dcterms:modified xsi:type="dcterms:W3CDTF">2025-03-21T13:09:00Z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