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2AA31EFC" w:rsidR="005E1013" w:rsidRDefault="00A20B2B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C46D6F">
            <w:rPr>
              <w:rStyle w:val="TitleChar"/>
            </w:rPr>
            <w:t>CYP</w:t>
          </w:r>
          <w:r w:rsidR="00CF2EE4">
            <w:rPr>
              <w:rStyle w:val="TitleChar"/>
            </w:rPr>
            <w:t xml:space="preserve">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CF2EE4" w14:paraId="7D49054C" w14:textId="77777777" w:rsidTr="00526D28">
        <w:tc>
          <w:tcPr>
            <w:tcW w:w="3256" w:type="dxa"/>
            <w:vAlign w:val="center"/>
          </w:tcPr>
          <w:p w14:paraId="3A063C37" w14:textId="11B54C75" w:rsidR="00CF2EE4" w:rsidRDefault="00CF2EE4" w:rsidP="00CF2EE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40CEC4" w14:textId="153242C0" w:rsidR="00CF2EE4" w:rsidRDefault="00C46D6F" w:rsidP="00CF2EE4">
            <w:pPr>
              <w:spacing w:before="100" w:after="100"/>
            </w:pPr>
            <w:r>
              <w:rPr>
                <w:lang w:val="en-US"/>
              </w:rPr>
              <w:t xml:space="preserve">CYP </w:t>
            </w:r>
            <w:r w:rsidR="00CF2EE4">
              <w:rPr>
                <w:lang w:val="en-US"/>
              </w:rPr>
              <w:t xml:space="preserve">CBT Therapist (Corporate) </w:t>
            </w:r>
          </w:p>
        </w:tc>
      </w:tr>
      <w:tr w:rsidR="00CF2EE4" w14:paraId="19AB6488" w14:textId="77777777" w:rsidTr="00526D28">
        <w:tc>
          <w:tcPr>
            <w:tcW w:w="3256" w:type="dxa"/>
            <w:vAlign w:val="center"/>
          </w:tcPr>
          <w:p w14:paraId="755D3B7A" w14:textId="3D2363B8" w:rsidR="00CF2EE4" w:rsidRDefault="00CF2EE4" w:rsidP="00CF2EE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BFB5BA" w14:textId="18348737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Psychological Therapy Services (Corporate) </w:t>
            </w:r>
          </w:p>
        </w:tc>
      </w:tr>
      <w:tr w:rsidR="00CF2EE4" w14:paraId="5BA82C71" w14:textId="77777777" w:rsidTr="00526D28">
        <w:tc>
          <w:tcPr>
            <w:tcW w:w="3256" w:type="dxa"/>
            <w:vAlign w:val="center"/>
          </w:tcPr>
          <w:p w14:paraId="5F3C8594" w14:textId="774214C3" w:rsidR="00CF2EE4" w:rsidRDefault="00CF2EE4" w:rsidP="00CF2EE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D663E" w14:textId="32341329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Remote </w:t>
            </w:r>
          </w:p>
        </w:tc>
      </w:tr>
      <w:tr w:rsidR="00CF2EE4" w14:paraId="61E91F65" w14:textId="77777777" w:rsidTr="00526D28">
        <w:tc>
          <w:tcPr>
            <w:tcW w:w="3256" w:type="dxa"/>
            <w:vAlign w:val="center"/>
          </w:tcPr>
          <w:p w14:paraId="60094B3E" w14:textId="5F98780B" w:rsidR="00CF2EE4" w:rsidRDefault="00CF2EE4" w:rsidP="00CF2EE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CF2EE4" w:rsidRDefault="00CF2EE4" w:rsidP="00CF2EE4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BB1388" w14:textId="12CFDEFE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Senior Cognitive Behavioural Therapist </w:t>
            </w:r>
          </w:p>
        </w:tc>
      </w:tr>
      <w:tr w:rsidR="00CF2EE4" w14:paraId="13153721" w14:textId="77777777" w:rsidTr="000F42FB">
        <w:tc>
          <w:tcPr>
            <w:tcW w:w="3256" w:type="dxa"/>
            <w:vAlign w:val="center"/>
          </w:tcPr>
          <w:p w14:paraId="6993CC7D" w14:textId="7342EA56" w:rsidR="00CF2EE4" w:rsidRDefault="00CF2EE4" w:rsidP="00CF2EE4">
            <w:pPr>
              <w:spacing w:before="100" w:after="100"/>
            </w:pPr>
            <w:r>
              <w:t>Direct reports:</w:t>
            </w:r>
          </w:p>
          <w:p w14:paraId="47666179" w14:textId="0971B0AF" w:rsidR="00CF2EE4" w:rsidRDefault="00CF2EE4" w:rsidP="00CF2EE4">
            <w:pPr>
              <w:spacing w:before="100" w:after="100"/>
            </w:pPr>
            <w:r>
              <w:t xml:space="preserve"> 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63B7E" w14:textId="08D59F1E" w:rsidR="00CF2EE4" w:rsidRDefault="00C46D6F" w:rsidP="00CF2EE4">
            <w:pPr>
              <w:spacing w:before="100" w:after="100"/>
            </w:pPr>
            <w:r>
              <w:rPr>
                <w:lang w:val="en-US"/>
              </w:rPr>
              <w:t>None</w:t>
            </w:r>
          </w:p>
        </w:tc>
      </w:tr>
      <w:tr w:rsidR="00CF2EE4" w14:paraId="61110A87" w14:textId="77777777" w:rsidTr="000F42FB">
        <w:tc>
          <w:tcPr>
            <w:tcW w:w="3256" w:type="dxa"/>
            <w:vAlign w:val="center"/>
          </w:tcPr>
          <w:p w14:paraId="5996CE35" w14:textId="6924CA2B" w:rsidR="00CF2EE4" w:rsidRDefault="00CF2EE4" w:rsidP="00CF2EE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CF2EE4" w:rsidRDefault="00CF2EE4" w:rsidP="00CF2EE4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FAFEE2" w14:textId="662E7F52" w:rsidR="00CF2EE4" w:rsidRDefault="00CF2EE4" w:rsidP="00CF2EE4">
            <w:pPr>
              <w:spacing w:before="100" w:after="100"/>
            </w:pPr>
            <w:r>
              <w:rPr>
                <w:lang w:val="en-US"/>
              </w:rPr>
              <w:t xml:space="preserve">PTS Service Lead </w:t>
            </w:r>
          </w:p>
        </w:tc>
      </w:tr>
      <w:tr w:rsidR="00CF2EE4" w14:paraId="459E1B5F" w14:textId="77777777" w:rsidTr="000F42FB">
        <w:tc>
          <w:tcPr>
            <w:tcW w:w="3256" w:type="dxa"/>
            <w:vAlign w:val="center"/>
          </w:tcPr>
          <w:p w14:paraId="3F242D0D" w14:textId="7D9E94A7" w:rsidR="00CF2EE4" w:rsidRDefault="00CF2EE4" w:rsidP="00CF2EE4">
            <w:pPr>
              <w:spacing w:before="100" w:after="100"/>
            </w:pPr>
            <w:r>
              <w:t>Responsible to:</w:t>
            </w:r>
          </w:p>
          <w:p w14:paraId="65CDC27E" w14:textId="436CC73C" w:rsidR="00CF2EE4" w:rsidRDefault="00CF2EE4" w:rsidP="00CF2EE4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B59BB" w14:textId="20D5DEC1" w:rsidR="00CF2EE4" w:rsidRDefault="00C46D6F" w:rsidP="00CF2EE4">
            <w:pPr>
              <w:spacing w:before="100" w:after="100"/>
            </w:pPr>
            <w:r>
              <w:t>PTS Clinical Lead</w:t>
            </w:r>
          </w:p>
        </w:tc>
      </w:tr>
      <w:tr w:rsidR="00CF2EE4" w14:paraId="34A2BEBB" w14:textId="77777777" w:rsidTr="000F42FB">
        <w:tc>
          <w:tcPr>
            <w:tcW w:w="3256" w:type="dxa"/>
            <w:vAlign w:val="center"/>
          </w:tcPr>
          <w:p w14:paraId="5D8CED71" w14:textId="47B9CCF8" w:rsidR="00CF2EE4" w:rsidRDefault="00CF2EE4" w:rsidP="00CF2EE4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D7A683" w14:textId="77777777" w:rsidR="00CF2EE4" w:rsidRDefault="00755A55" w:rsidP="00755A55">
            <w:pPr>
              <w:pStyle w:val="BulletListDense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To support with the expansion of the CYP provision in PTS. </w:t>
            </w:r>
          </w:p>
          <w:p w14:paraId="027DF167" w14:textId="33E4F8B9" w:rsidR="00755A55" w:rsidRPr="00815A24" w:rsidRDefault="00755A55" w:rsidP="00815A24">
            <w:pPr>
              <w:pStyle w:val="BulletListDense"/>
              <w:rPr>
                <w:lang w:val="en-US" w:eastAsia="en-GB"/>
              </w:rPr>
            </w:pPr>
            <w:r>
              <w:rPr>
                <w:lang w:val="en-US" w:eastAsia="en-GB"/>
              </w:rPr>
              <w:t xml:space="preserve">To </w:t>
            </w:r>
            <w:r w:rsidR="00815A24">
              <w:rPr>
                <w:lang w:val="en-US" w:eastAsia="en-GB"/>
              </w:rPr>
              <w:t xml:space="preserve">support the PTS Clinical Lead and PTS Service Manager with </w:t>
            </w:r>
            <w:r>
              <w:rPr>
                <w:lang w:val="en-US" w:eastAsia="en-GB"/>
              </w:rPr>
              <w:t xml:space="preserve">service development </w:t>
            </w:r>
            <w:r w:rsidR="00815A24">
              <w:rPr>
                <w:lang w:val="en-US" w:eastAsia="en-GB"/>
              </w:rPr>
              <w:t xml:space="preserve">and innovation. </w:t>
            </w:r>
          </w:p>
        </w:tc>
      </w:tr>
      <w:tr w:rsidR="00CF2EE4" w14:paraId="3CFD1385" w14:textId="77777777" w:rsidTr="00966F66">
        <w:tc>
          <w:tcPr>
            <w:tcW w:w="3256" w:type="dxa"/>
            <w:vAlign w:val="center"/>
          </w:tcPr>
          <w:p w14:paraId="627BDC42" w14:textId="3DF91B23" w:rsidR="00CF2EE4" w:rsidRDefault="00CF2EE4" w:rsidP="00CF2EE4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2166D12F" w14:textId="77777777" w:rsidR="00755A55" w:rsidRDefault="00755A55" w:rsidP="00755A55">
            <w:pPr>
              <w:pStyle w:val="BulletListDense"/>
            </w:pPr>
            <w:r>
              <w:t>To provide psychological assessment and treatment to children and young people ages 11-16. Assessment and therapy will be informed by</w:t>
            </w:r>
          </w:p>
          <w:p w14:paraId="0073B778" w14:textId="77777777" w:rsidR="00755A55" w:rsidRDefault="00755A55" w:rsidP="00755A55">
            <w:pPr>
              <w:pStyle w:val="BulletListDense"/>
            </w:pPr>
            <w:r>
              <w:t xml:space="preserve">NICE guidance for Anxiety, </w:t>
            </w:r>
            <w:proofErr w:type="gramStart"/>
            <w:r>
              <w:t>Depression</w:t>
            </w:r>
            <w:proofErr w:type="gramEnd"/>
            <w:r>
              <w:t xml:space="preserve"> and other mental health problems. Therapy model will be Cognitive behaviour therapy (CBT) plus other approaches as appropriate. </w:t>
            </w:r>
          </w:p>
          <w:p w14:paraId="44BDB607" w14:textId="72521D54" w:rsidR="00CF2EE4" w:rsidRDefault="00755A55" w:rsidP="00755A55">
            <w:pPr>
              <w:pStyle w:val="BulletListDense"/>
            </w:pPr>
            <w:r>
              <w:t>To develop the capacity of the PTS team to work with common mental health difficulties in the context of emerging adulthood.</w:t>
            </w:r>
          </w:p>
        </w:tc>
      </w:tr>
      <w:tr w:rsidR="00CF2EE4" w14:paraId="01882A7A" w14:textId="77777777" w:rsidTr="00966F66">
        <w:tc>
          <w:tcPr>
            <w:tcW w:w="3256" w:type="dxa"/>
            <w:vAlign w:val="center"/>
          </w:tcPr>
          <w:p w14:paraId="57B89986" w14:textId="29BAB234" w:rsidR="00CF2EE4" w:rsidRDefault="00CF2EE4" w:rsidP="00CF2EE4">
            <w:pPr>
              <w:spacing w:before="100" w:after="100"/>
            </w:pPr>
            <w:r>
              <w:t>Clinical Governance:</w:t>
            </w:r>
          </w:p>
          <w:p w14:paraId="53E29B26" w14:textId="1892EDC7" w:rsidR="00CF2EE4" w:rsidRDefault="00CF2EE4" w:rsidP="00CF2EE4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766E5BC" w14:textId="77777777" w:rsidR="00CF2EE4" w:rsidRDefault="00CF2EE4" w:rsidP="00CF2EE4">
            <w:pPr>
              <w:spacing w:before="100" w:after="100"/>
            </w:pPr>
          </w:p>
        </w:tc>
      </w:tr>
      <w:tr w:rsidR="00CF2EE4" w14:paraId="3161C07B" w14:textId="77777777" w:rsidTr="00966F66">
        <w:tc>
          <w:tcPr>
            <w:tcW w:w="3256" w:type="dxa"/>
            <w:vAlign w:val="center"/>
          </w:tcPr>
          <w:p w14:paraId="5FD2413E" w14:textId="7A534F40" w:rsidR="00CF2EE4" w:rsidRDefault="00CF2EE4" w:rsidP="00CF2EE4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7D0E0A15" w14:textId="77777777" w:rsidR="00755A55" w:rsidRPr="00755A55" w:rsidRDefault="00755A55" w:rsidP="00755A55">
            <w:pPr>
              <w:pStyle w:val="BulletListDense"/>
            </w:pPr>
            <w:r w:rsidRPr="00755A55">
              <w:t>Ensure the maintenance of standards of practice according to the employer and any regulating, professional and accrediting bodies (</w:t>
            </w:r>
            <w:proofErr w:type="gramStart"/>
            <w:r w:rsidRPr="00755A55">
              <w:t>e.g.</w:t>
            </w:r>
            <w:proofErr w:type="gramEnd"/>
            <w:r w:rsidRPr="00755A55">
              <w:t xml:space="preserve"> BPS, UKCP, BABCP,), and keep up-to-date on new </w:t>
            </w:r>
            <w:r w:rsidRPr="00755A55">
              <w:lastRenderedPageBreak/>
              <w:t xml:space="preserve">recommendations/guidelines set by the department of health (e.g. NHS plan, National Service Framework, National Institute for Clinical Excellence). </w:t>
            </w:r>
          </w:p>
          <w:p w14:paraId="1EA5CC7B" w14:textId="5046FB8C" w:rsidR="00755A55" w:rsidRPr="00755A55" w:rsidRDefault="00755A55" w:rsidP="00755A55">
            <w:pPr>
              <w:pStyle w:val="BulletListDense"/>
            </w:pPr>
            <w:r w:rsidRPr="00755A55">
              <w:t xml:space="preserve">Be aware </w:t>
            </w:r>
            <w:proofErr w:type="gramStart"/>
            <w:r w:rsidRPr="00755A55">
              <w:t>of, and</w:t>
            </w:r>
            <w:proofErr w:type="gramEnd"/>
            <w:r w:rsidRPr="00755A55">
              <w:t xml:space="preserve"> keep up to date with advances in psychological therapies. </w:t>
            </w:r>
          </w:p>
          <w:p w14:paraId="59A2401B" w14:textId="599839A4" w:rsidR="00755A55" w:rsidRPr="00755A55" w:rsidRDefault="00755A55" w:rsidP="00755A55">
            <w:pPr>
              <w:pStyle w:val="BulletListDense"/>
            </w:pPr>
            <w:r w:rsidRPr="00755A55">
              <w:t xml:space="preserve">Ensure clear professional objectives are identified, </w:t>
            </w:r>
            <w:proofErr w:type="gramStart"/>
            <w:r w:rsidRPr="00755A55">
              <w:t>discussed</w:t>
            </w:r>
            <w:proofErr w:type="gramEnd"/>
            <w:r w:rsidRPr="00755A55">
              <w:t xml:space="preserve"> and reviewed with senior therapists on a regular basis as part of continuing professional development. </w:t>
            </w:r>
          </w:p>
          <w:p w14:paraId="40823934" w14:textId="0DDB61AC" w:rsidR="00755A55" w:rsidRPr="00755A55" w:rsidRDefault="00755A55" w:rsidP="00755A55">
            <w:pPr>
              <w:pStyle w:val="BulletListDense"/>
            </w:pPr>
            <w:r w:rsidRPr="00755A55">
              <w:t xml:space="preserve">Attend clinical/managerial supervision on a regular basis as agreed with Manager. </w:t>
            </w:r>
          </w:p>
          <w:p w14:paraId="7CCCE2F9" w14:textId="77777777" w:rsidR="00CF2EE4" w:rsidRDefault="00755A55" w:rsidP="00755A55">
            <w:pPr>
              <w:pStyle w:val="BulletListDense"/>
            </w:pPr>
            <w:r w:rsidRPr="00755A55">
              <w:t>Participate in individual performance review and respond to agreed objectives.</w:t>
            </w:r>
          </w:p>
          <w:p w14:paraId="51E7E86F" w14:textId="77777777" w:rsidR="00A20B2B" w:rsidRDefault="00A20B2B" w:rsidP="00A20B2B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  <w:p w14:paraId="22DC0C5F" w14:textId="77777777" w:rsidR="00A20B2B" w:rsidRDefault="00A20B2B" w:rsidP="00A20B2B">
            <w:pPr>
              <w:rPr>
                <w:rFonts w:asciiTheme="minorHAnsi" w:hAnsiTheme="minorHAnsi"/>
                <w:b/>
                <w:bCs/>
              </w:rPr>
            </w:pPr>
            <w:r>
              <w:rPr>
                <w:b/>
                <w:bCs/>
              </w:rPr>
              <w:t>Equality Diversity &amp; Inclusion (EDI)</w:t>
            </w:r>
          </w:p>
          <w:p w14:paraId="6ED3701A" w14:textId="77777777" w:rsidR="00A20B2B" w:rsidRDefault="00A20B2B" w:rsidP="00A20B2B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40807C3F" w14:textId="77777777" w:rsidR="00A20B2B" w:rsidRDefault="00A20B2B" w:rsidP="00A20B2B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1C2B5ED2" w14:textId="77777777" w:rsidR="00A20B2B" w:rsidRDefault="00A20B2B" w:rsidP="00A20B2B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46E16146" w14:textId="77777777" w:rsidR="00A20B2B" w:rsidRDefault="00A20B2B" w:rsidP="00A20B2B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4F5DA31B" w14:textId="77777777" w:rsidR="00A20B2B" w:rsidRDefault="00A20B2B" w:rsidP="00A20B2B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56471321" w14:textId="77777777" w:rsidR="00A20B2B" w:rsidRDefault="00A20B2B" w:rsidP="00A20B2B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7FB5CE66" w14:textId="77777777" w:rsidR="00A20B2B" w:rsidRDefault="00A20B2B" w:rsidP="00A20B2B">
            <w:pPr>
              <w:pStyle w:val="ListParagraph"/>
              <w:numPr>
                <w:ilvl w:val="0"/>
                <w:numId w:val="22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201DC6D6" w14:textId="5B2C69E9" w:rsidR="00A20B2B" w:rsidRPr="00755A55" w:rsidRDefault="00A20B2B" w:rsidP="00A20B2B">
            <w:pPr>
              <w:pStyle w:val="BulletListDense"/>
              <w:numPr>
                <w:ilvl w:val="0"/>
                <w:numId w:val="0"/>
              </w:numPr>
              <w:ind w:left="853" w:hanging="360"/>
            </w:pPr>
          </w:p>
        </w:tc>
      </w:tr>
      <w:tr w:rsidR="00CF2EE4" w14:paraId="4004EF95" w14:textId="77777777" w:rsidTr="00966F66">
        <w:tc>
          <w:tcPr>
            <w:tcW w:w="3256" w:type="dxa"/>
            <w:vAlign w:val="center"/>
          </w:tcPr>
          <w:p w14:paraId="0E220621" w14:textId="69144CB3" w:rsidR="00CF2EE4" w:rsidRDefault="00CF2EE4" w:rsidP="00CF2EE4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AB706D6" w:rsidR="00CF2EE4" w:rsidRPr="00966F66" w:rsidRDefault="00CF2EE4" w:rsidP="00CF2EE4">
            <w:pPr>
              <w:spacing w:before="100" w:after="100"/>
              <w:rPr>
                <w:color w:val="000000"/>
              </w:rPr>
            </w:pPr>
            <w:r w:rsidRPr="00CF2EE4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0C353CF4" w:rsidR="00966F66" w:rsidRDefault="00966F66">
      <w:pPr>
        <w:spacing w:after="200"/>
      </w:pPr>
    </w:p>
    <w:p w14:paraId="71700E3E" w14:textId="72DF43CD" w:rsidR="00A20B2B" w:rsidRDefault="00A20B2B">
      <w:pPr>
        <w:spacing w:after="200"/>
      </w:pPr>
    </w:p>
    <w:p w14:paraId="7A39033C" w14:textId="783E070F" w:rsidR="00A20B2B" w:rsidRDefault="00A20B2B">
      <w:pPr>
        <w:spacing w:after="200"/>
      </w:pPr>
    </w:p>
    <w:p w14:paraId="7EA1CACC" w14:textId="1FEDFA29" w:rsidR="00A20B2B" w:rsidRDefault="00A20B2B">
      <w:pPr>
        <w:spacing w:after="200"/>
      </w:pPr>
    </w:p>
    <w:p w14:paraId="07A2A8BA" w14:textId="77777777" w:rsidR="00A20B2B" w:rsidRDefault="00A20B2B">
      <w:pPr>
        <w:spacing w:after="200"/>
      </w:pPr>
    </w:p>
    <w:p w14:paraId="3682E2D3" w14:textId="503BD0AF" w:rsidR="00966F66" w:rsidRDefault="00966F66">
      <w:pPr>
        <w:spacing w:after="200"/>
        <w:rPr>
          <w:b/>
          <w:color w:val="00A7CF"/>
          <w:sz w:val="28"/>
        </w:rPr>
      </w:pP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6CBCFA3D" w14:textId="558F2767" w:rsidR="00CF2EE4" w:rsidRPr="00CF2EE4" w:rsidRDefault="00CF2EE4" w:rsidP="00CF2EE4">
            <w:pPr>
              <w:pStyle w:val="BulletListDense"/>
              <w:numPr>
                <w:ilvl w:val="0"/>
                <w:numId w:val="21"/>
              </w:numPr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Post graduate training in CBT or equivalent</w:t>
            </w:r>
          </w:p>
          <w:p w14:paraId="28D8F850" w14:textId="64E55D55" w:rsidR="00CF2EE4" w:rsidRPr="00D379F4" w:rsidRDefault="00CF2EE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BABCP accreditation or eligibility for BABCP accreditation</w:t>
            </w:r>
          </w:p>
          <w:p w14:paraId="4E3A7AFE" w14:textId="771C785F" w:rsidR="00D379F4" w:rsidRDefault="00D379F4" w:rsidP="00CF2EE4">
            <w:pPr>
              <w:pStyle w:val="BulletListDense"/>
              <w:numPr>
                <w:ilvl w:val="0"/>
                <w:numId w:val="21"/>
              </w:numPr>
              <w:ind w:left="360"/>
              <w:jc w:val="both"/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CYP IAPT qualification</w:t>
            </w:r>
          </w:p>
          <w:p w14:paraId="1243DD7A" w14:textId="2E68B2CA" w:rsidR="00CF2EE4" w:rsidRPr="00CF2EE4" w:rsidRDefault="00CF2EE4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  <w:p w14:paraId="4315561D" w14:textId="3E5925B6" w:rsidR="00966F66" w:rsidRPr="00CF2EE4" w:rsidRDefault="00966F66" w:rsidP="00CF2EE4">
            <w:pPr>
              <w:spacing w:beforeLines="100" w:before="240" w:afterLines="100" w:after="240"/>
              <w:jc w:val="both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CC00419" w14:textId="77777777" w:rsidR="00755A55" w:rsidRPr="00755A55" w:rsidRDefault="00755A55" w:rsidP="00755A55">
            <w:pPr>
              <w:pStyle w:val="ListParagraph"/>
              <w:numPr>
                <w:ilvl w:val="0"/>
                <w:numId w:val="21"/>
              </w:numPr>
              <w:rPr>
                <w:rFonts w:cs="Calibri"/>
                <w:szCs w:val="22"/>
              </w:rPr>
            </w:pPr>
            <w:r w:rsidRPr="00755A55">
              <w:rPr>
                <w:rFonts w:cs="Calibri"/>
                <w:szCs w:val="22"/>
              </w:rPr>
              <w:t xml:space="preserve">HCPC registered </w:t>
            </w:r>
          </w:p>
          <w:p w14:paraId="249563A3" w14:textId="6F766CE3" w:rsidR="00966F66" w:rsidRPr="00CF2EE4" w:rsidRDefault="00755A55" w:rsidP="001F07DD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</w:rPr>
            </w:pPr>
            <w:r w:rsidRPr="00755A55">
              <w:rPr>
                <w:rFonts w:cs="Calibri"/>
                <w:szCs w:val="22"/>
              </w:rPr>
              <w:t>CYP supervision qualification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F96A5D8" w14:textId="4770C243" w:rsidR="00755A55" w:rsidRPr="00755A55" w:rsidRDefault="00755A55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D</w:t>
            </w:r>
            <w:r w:rsidRPr="00641EB5">
              <w:rPr>
                <w:rFonts w:cs="Calibri"/>
                <w:lang w:eastAsia="en-GB"/>
              </w:rPr>
              <w:t>emonstr</w:t>
            </w:r>
            <w:r>
              <w:rPr>
                <w:rFonts w:cs="Calibri"/>
                <w:lang w:eastAsia="en-GB"/>
              </w:rPr>
              <w:t>able</w:t>
            </w:r>
            <w:r w:rsidRPr="00641EB5">
              <w:rPr>
                <w:rFonts w:cs="Calibri"/>
                <w:lang w:eastAsia="en-GB"/>
              </w:rPr>
              <w:t xml:space="preserve"> post-qualification experience of working in a CAMHS/Tier 3 setting delivering CBT to children and young people</w:t>
            </w:r>
          </w:p>
          <w:p w14:paraId="51967DAC" w14:textId="4A288582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Experience of treating common mental health conditions</w:t>
            </w:r>
          </w:p>
          <w:p w14:paraId="15601FF4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bCs/>
                <w:szCs w:val="22"/>
                <w:lang w:val="en-US" w:eastAsia="en-GB"/>
              </w:rPr>
              <w:t>D</w:t>
            </w:r>
            <w:r>
              <w:rPr>
                <w:rFonts w:cs="Calibri"/>
                <w:bCs/>
                <w:color w:val="000000" w:themeColor="text1"/>
                <w:szCs w:val="22"/>
                <w:lang w:val="en-US" w:eastAsia="en-GB"/>
              </w:rPr>
              <w:t>emonstrable experience of working in psychological therapy/mental health services</w:t>
            </w:r>
          </w:p>
          <w:p w14:paraId="23B69FC5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szCs w:val="22"/>
                <w:lang w:val="en-US" w:eastAsia="en-GB"/>
              </w:rPr>
            </w:pPr>
            <w:r>
              <w:rPr>
                <w:rFonts w:cs="Calibri"/>
                <w:szCs w:val="22"/>
                <w:lang w:val="en-US" w:eastAsia="en-GB"/>
              </w:rPr>
              <w:t>Experience of acute MH/psychological assessment</w:t>
            </w:r>
          </w:p>
          <w:p w14:paraId="301C1106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risk assessment and routine clinical outcome monitoring</w:t>
            </w:r>
          </w:p>
          <w:p w14:paraId="3FC5DF75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of liaising with other professional groups</w:t>
            </w:r>
          </w:p>
          <w:p w14:paraId="251A61E6" w14:textId="77777777" w:rsidR="00CF2EE4" w:rsidRDefault="00CF2EE4" w:rsidP="00755A55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Experience in establishing diagnosis and providing evidence based psychological therapies including CBT</w:t>
            </w:r>
          </w:p>
          <w:p w14:paraId="3B562B01" w14:textId="77777777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DEFF321" w14:textId="0DC29166" w:rsidR="009F68CA" w:rsidRDefault="00755A55" w:rsidP="00755A55">
            <w:pPr>
              <w:pStyle w:val="BulletListDense"/>
              <w:rPr>
                <w:lang w:val="en-US"/>
              </w:rPr>
            </w:pPr>
            <w:r w:rsidRPr="00755A55">
              <w:rPr>
                <w:lang w:val="en-US"/>
              </w:rPr>
              <w:t>Experience of delivering EMDR, IPT, DIT, CAT</w:t>
            </w:r>
          </w:p>
          <w:p w14:paraId="337D87B6" w14:textId="77777777" w:rsidR="00755A55" w:rsidRPr="00755A55" w:rsidRDefault="00755A55" w:rsidP="00755A55">
            <w:pPr>
              <w:pStyle w:val="BulletListDense"/>
              <w:rPr>
                <w:lang w:val="en-US"/>
              </w:rPr>
            </w:pPr>
            <w:r w:rsidRPr="00755A55">
              <w:rPr>
                <w:lang w:val="en-US"/>
              </w:rPr>
              <w:t>Experience of working with families</w:t>
            </w:r>
          </w:p>
          <w:p w14:paraId="7C50C04E" w14:textId="77777777" w:rsidR="00755A55" w:rsidRPr="00755A55" w:rsidRDefault="00755A55" w:rsidP="00755A55">
            <w:pPr>
              <w:pStyle w:val="BulletListDense"/>
              <w:numPr>
                <w:ilvl w:val="0"/>
                <w:numId w:val="0"/>
              </w:numPr>
              <w:ind w:left="853"/>
              <w:rPr>
                <w:lang w:val="en-US"/>
              </w:rPr>
            </w:pPr>
          </w:p>
          <w:p w14:paraId="73BCA857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5F23EBF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Proficiency in IT skills including the use of Microsoft Office packages, databases      and electronic record systems is required.</w:t>
            </w:r>
          </w:p>
          <w:p w14:paraId="00208B19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Demonstrates high standards in written communication, able to </w:t>
            </w:r>
            <w:r>
              <w:rPr>
                <w:rFonts w:cs="Calibri"/>
                <w:lang w:val="en-US" w:eastAsia="en-GB"/>
              </w:rPr>
              <w:lastRenderedPageBreak/>
              <w:t>write clear reports and letters to referrers</w:t>
            </w:r>
          </w:p>
          <w:p w14:paraId="7B84F72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>A sound understanding of the principles of CBT and application across a   broad range of mental health disorders</w:t>
            </w:r>
          </w:p>
          <w:p w14:paraId="370B62ED" w14:textId="77777777" w:rsidR="00CF2EE4" w:rsidRDefault="00CF2EE4" w:rsidP="00CF2EE4">
            <w:pPr>
              <w:pStyle w:val="BulletListDense"/>
              <w:numPr>
                <w:ilvl w:val="0"/>
                <w:numId w:val="21"/>
              </w:numPr>
              <w:rPr>
                <w:rFonts w:cs="Calibri"/>
                <w:lang w:val="en-US" w:eastAsia="en-GB"/>
              </w:rPr>
            </w:pPr>
            <w:r>
              <w:rPr>
                <w:rFonts w:cs="Calibri"/>
                <w:lang w:val="en-US" w:eastAsia="en-GB"/>
              </w:rPr>
              <w:t xml:space="preserve">For home-based positions you will be required to have a minimum of 5mb download internet speed at the home address </w:t>
            </w:r>
          </w:p>
          <w:p w14:paraId="4ADEDD69" w14:textId="77777777" w:rsidR="00CF2EE4" w:rsidRPr="00755A55" w:rsidRDefault="00CF2EE4" w:rsidP="00755A55">
            <w:pPr>
              <w:pStyle w:val="BulletListDense"/>
              <w:rPr>
                <w:lang w:val="en-US"/>
              </w:rPr>
            </w:pPr>
            <w:r w:rsidRPr="00755A55">
              <w:rPr>
                <w:lang w:val="en-US"/>
              </w:rPr>
              <w:t>IT literate – intermediate level minimum</w:t>
            </w:r>
          </w:p>
          <w:p w14:paraId="2F77305B" w14:textId="331F8973" w:rsidR="00966F66" w:rsidRPr="00CF2EE4" w:rsidRDefault="00966F66" w:rsidP="00CF2EE4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33E89CBA" w:rsidR="00966F66" w:rsidRPr="009F68CA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24A1AF04" w14:textId="77777777" w:rsidR="001D244A" w:rsidRPr="001D244A" w:rsidRDefault="001D244A" w:rsidP="001D244A">
            <w:pPr>
              <w:pStyle w:val="ListParagraph"/>
              <w:rPr>
                <w:rFonts w:cs="Calibri"/>
                <w:szCs w:val="22"/>
                <w:lang w:val="en-US"/>
              </w:rPr>
            </w:pPr>
          </w:p>
          <w:p w14:paraId="45248225" w14:textId="77777777" w:rsidR="001D244A" w:rsidRPr="001D244A" w:rsidRDefault="001D244A" w:rsidP="001D244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  <w:lang w:val="en-US"/>
              </w:rPr>
            </w:pPr>
          </w:p>
          <w:p w14:paraId="4102B15E" w14:textId="77777777" w:rsidR="00966F66" w:rsidRPr="00966F66" w:rsidRDefault="00966F66" w:rsidP="00B70651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1914C1D5" w14:textId="1A6699D1" w:rsidR="00987099" w:rsidRPr="00755A55" w:rsidRDefault="00987099" w:rsidP="00755A55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values that are consistent with the NHS constitution.</w:t>
            </w:r>
          </w:p>
          <w:p w14:paraId="1EB91A0D" w14:textId="4A1B13FC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Interpersonal skills to engage and develop working alliances with colleagues and patients.</w:t>
            </w:r>
          </w:p>
          <w:p w14:paraId="48FF94CB" w14:textId="02610C95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Evidence of an openness to learning new knowledge and skills.</w:t>
            </w:r>
          </w:p>
          <w:p w14:paraId="5881019C" w14:textId="51C68FCA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Excellent verbal and written communication skills</w:t>
            </w:r>
          </w:p>
          <w:p w14:paraId="52B2A556" w14:textId="6FFA45BE" w:rsidR="00987099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High level of enthusiasm and motivation</w:t>
            </w:r>
          </w:p>
          <w:p w14:paraId="4A028584" w14:textId="43690C79" w:rsidR="001D244A" w:rsidRPr="00755A55" w:rsidRDefault="00987099" w:rsidP="00755A55">
            <w:pPr>
              <w:pStyle w:val="ListParagraph"/>
              <w:numPr>
                <w:ilvl w:val="0"/>
                <w:numId w:val="1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87099">
              <w:rPr>
                <w:rFonts w:cs="Calibri"/>
                <w:szCs w:val="22"/>
              </w:rPr>
              <w:t>Ability to work under pressure</w:t>
            </w:r>
          </w:p>
          <w:p w14:paraId="21FB89F2" w14:textId="7868213D" w:rsidR="00966F66" w:rsidRPr="001D244A" w:rsidRDefault="001D244A" w:rsidP="001D244A">
            <w:pPr>
              <w:pStyle w:val="ListParagraph"/>
              <w:numPr>
                <w:ilvl w:val="0"/>
                <w:numId w:val="1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1D244A">
              <w:rPr>
                <w:rFonts w:cs="Calibri"/>
                <w:kern w:val="0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1D244A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A20B2B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A20B2B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A20B2B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7"/>
        <w:gridCol w:w="1182"/>
        <w:gridCol w:w="7893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203B1D24" w:rsidR="00284165" w:rsidRDefault="00A20B2B" w:rsidP="00284165">
            <w:pPr>
              <w:pStyle w:val="PROPERTIESBOX"/>
            </w:pPr>
            <w:r>
              <w:t>V1.3</w:t>
            </w:r>
          </w:p>
        </w:tc>
        <w:tc>
          <w:tcPr>
            <w:tcW w:w="493" w:type="pct"/>
          </w:tcPr>
          <w:p w14:paraId="52E12275" w14:textId="6AF5A1C8" w:rsidR="00284165" w:rsidRDefault="00A20B2B" w:rsidP="00284165">
            <w:pPr>
              <w:pStyle w:val="PROPERTIESBOX"/>
            </w:pPr>
            <w:r>
              <w:t>19/11/2021</w:t>
            </w:r>
          </w:p>
        </w:tc>
        <w:tc>
          <w:tcPr>
            <w:tcW w:w="4016" w:type="pct"/>
          </w:tcPr>
          <w:p w14:paraId="21F3CB1B" w14:textId="7D70361D" w:rsidR="00284165" w:rsidRDefault="00A20B2B" w:rsidP="00284165">
            <w:pPr>
              <w:pStyle w:val="PROPERTIESBOX"/>
            </w:pPr>
            <w:r>
              <w:t>Updated to include</w:t>
            </w:r>
            <w:r>
              <w:t xml:space="preserve"> NEW</w:t>
            </w:r>
            <w:r>
              <w:t xml:space="preserve"> diversity and inclusion statement</w:t>
            </w:r>
            <w:r>
              <w:t xml:space="preserve"> in roles and ressponsibilities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F7E5" w14:textId="77777777" w:rsidR="00EB7BF1" w:rsidRDefault="00EB7BF1" w:rsidP="00A96CB2">
      <w:r>
        <w:separator/>
      </w:r>
    </w:p>
  </w:endnote>
  <w:endnote w:type="continuationSeparator" w:id="0">
    <w:p w14:paraId="2E526C30" w14:textId="77777777" w:rsidR="00EB7BF1" w:rsidRDefault="00EB7BF1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98416" w14:textId="77777777" w:rsidR="00EB7BF1" w:rsidRDefault="00EB7BF1" w:rsidP="00A96CB2">
      <w:r>
        <w:separator/>
      </w:r>
    </w:p>
  </w:footnote>
  <w:footnote w:type="continuationSeparator" w:id="0">
    <w:p w14:paraId="448C6E81" w14:textId="77777777" w:rsidR="00EB7BF1" w:rsidRDefault="00EB7BF1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44763325" w:rsidR="005E1013" w:rsidRPr="004A6AA8" w:rsidRDefault="00A20B2B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6D6F">
                                <w:t>CYP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44763325" w:rsidR="005E1013" w:rsidRPr="004A6AA8" w:rsidRDefault="00A20B2B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6D6F">
                          <w:t>CYP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3AEEF236" w:rsidR="00AD6216" w:rsidRPr="004A6AA8" w:rsidRDefault="00A20B2B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C46D6F">
                                <w:t>CYP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3AEEF236" w:rsidR="00AD6216" w:rsidRPr="004A6AA8" w:rsidRDefault="00A20B2B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C46D6F">
                          <w:t>CYP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68" type="#_x0000_t75" style="width:349.2pt;height:277.8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940077A"/>
    <w:multiLevelType w:val="hybridMultilevel"/>
    <w:tmpl w:val="158877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27CC"/>
    <w:multiLevelType w:val="hybridMultilevel"/>
    <w:tmpl w:val="66FEA43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A2F17"/>
    <w:multiLevelType w:val="hybridMultilevel"/>
    <w:tmpl w:val="F5D6DB5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13657"/>
    <w:multiLevelType w:val="hybridMultilevel"/>
    <w:tmpl w:val="D262AF8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01E9B"/>
    <w:multiLevelType w:val="hybridMultilevel"/>
    <w:tmpl w:val="0D9EADE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36083"/>
    <w:multiLevelType w:val="hybridMultilevel"/>
    <w:tmpl w:val="24A2E80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E493B"/>
    <w:multiLevelType w:val="hybridMultilevel"/>
    <w:tmpl w:val="C952ED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25717"/>
    <w:multiLevelType w:val="hybridMultilevel"/>
    <w:tmpl w:val="2E5A9CC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274801"/>
    <w:multiLevelType w:val="hybridMultilevel"/>
    <w:tmpl w:val="724C3E2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92D39"/>
    <w:multiLevelType w:val="hybridMultilevel"/>
    <w:tmpl w:val="29366B9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BAD1B9D"/>
    <w:multiLevelType w:val="hybridMultilevel"/>
    <w:tmpl w:val="528C2C1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263F7"/>
    <w:multiLevelType w:val="hybridMultilevel"/>
    <w:tmpl w:val="9A460AE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18"/>
  </w:num>
  <w:num w:numId="9">
    <w:abstractNumId w:val="13"/>
  </w:num>
  <w:num w:numId="10">
    <w:abstractNumId w:val="4"/>
  </w:num>
  <w:num w:numId="11">
    <w:abstractNumId w:val="14"/>
  </w:num>
  <w:num w:numId="12">
    <w:abstractNumId w:val="8"/>
  </w:num>
  <w:num w:numId="13">
    <w:abstractNumId w:val="7"/>
  </w:num>
  <w:num w:numId="14">
    <w:abstractNumId w:val="20"/>
  </w:num>
  <w:num w:numId="15">
    <w:abstractNumId w:val="19"/>
  </w:num>
  <w:num w:numId="16">
    <w:abstractNumId w:val="15"/>
  </w:num>
  <w:num w:numId="17">
    <w:abstractNumId w:val="6"/>
  </w:num>
  <w:num w:numId="18">
    <w:abstractNumId w:val="16"/>
  </w:num>
  <w:num w:numId="19">
    <w:abstractNumId w:val="9"/>
  </w:num>
  <w:num w:numId="20">
    <w:abstractNumId w:val="17"/>
  </w:num>
  <w:num w:numId="21">
    <w:abstractNumId w:val="5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60F4B"/>
    <w:rsid w:val="0007017D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C5F80"/>
    <w:rsid w:val="001D244A"/>
    <w:rsid w:val="001E1018"/>
    <w:rsid w:val="001F07DD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6F3CA2"/>
    <w:rsid w:val="00721860"/>
    <w:rsid w:val="00722C6C"/>
    <w:rsid w:val="00723AA9"/>
    <w:rsid w:val="00735584"/>
    <w:rsid w:val="00750F11"/>
    <w:rsid w:val="00755A55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5A24"/>
    <w:rsid w:val="00817458"/>
    <w:rsid w:val="00836694"/>
    <w:rsid w:val="008421E2"/>
    <w:rsid w:val="0084383C"/>
    <w:rsid w:val="00850BD3"/>
    <w:rsid w:val="00870118"/>
    <w:rsid w:val="00873096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87099"/>
    <w:rsid w:val="00992211"/>
    <w:rsid w:val="009A706F"/>
    <w:rsid w:val="009B2062"/>
    <w:rsid w:val="009B41B8"/>
    <w:rsid w:val="009D591E"/>
    <w:rsid w:val="009D715E"/>
    <w:rsid w:val="009E32A2"/>
    <w:rsid w:val="009E4D3C"/>
    <w:rsid w:val="009F68CA"/>
    <w:rsid w:val="00A00821"/>
    <w:rsid w:val="00A03CBA"/>
    <w:rsid w:val="00A20B2B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0651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6D6F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2EE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379F4"/>
    <w:rsid w:val="00D40027"/>
    <w:rsid w:val="00D4532F"/>
    <w:rsid w:val="00D610B8"/>
    <w:rsid w:val="00D66587"/>
    <w:rsid w:val="00D76E89"/>
    <w:rsid w:val="00D801E2"/>
    <w:rsid w:val="00D84D7D"/>
    <w:rsid w:val="00D962FC"/>
    <w:rsid w:val="00DA12CF"/>
    <w:rsid w:val="00DC2B9A"/>
    <w:rsid w:val="00DD3296"/>
    <w:rsid w:val="00DE205B"/>
    <w:rsid w:val="00DF02BD"/>
    <w:rsid w:val="00E027ED"/>
    <w:rsid w:val="00E10AA4"/>
    <w:rsid w:val="00E12C2D"/>
    <w:rsid w:val="00E16C86"/>
    <w:rsid w:val="00E4225D"/>
    <w:rsid w:val="00E4379F"/>
    <w:rsid w:val="00E653E9"/>
    <w:rsid w:val="00E8547A"/>
    <w:rsid w:val="00EA27A9"/>
    <w:rsid w:val="00EA753A"/>
    <w:rsid w:val="00EB76F5"/>
    <w:rsid w:val="00EB7BF1"/>
    <w:rsid w:val="00EC4FA3"/>
    <w:rsid w:val="00ED2F2C"/>
    <w:rsid w:val="00ED6078"/>
    <w:rsid w:val="00EE6476"/>
    <w:rsid w:val="00F0798E"/>
    <w:rsid w:val="00F44E51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F5154"/>
    <w:rsid w:val="0073326F"/>
    <w:rsid w:val="00BA374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1A1E38-4531-4EF3-ACDE-749E46172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689FA7-0296-4DFF-95E8-E4C02B4B7B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6.xml><?xml version="1.0" encoding="utf-8"?>
<ds:datastoreItem xmlns:ds="http://schemas.openxmlformats.org/officeDocument/2006/customXml" ds:itemID="{EB6E21F5-D249-4478-897E-99A55895B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5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CBT Therapist</vt:lpstr>
    </vt:vector>
  </TitlesOfParts>
  <Manager>Human Resources</Manager>
  <Company>RehabWorks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CYP Therapist</dc:title>
  <dc:subject>Enter Sub-Title Of Policy</dc:subject>
  <dc:creator>Human Resources</dc:creator>
  <cp:keywords>TBC</cp:keywords>
  <dc:description>V1.1</dc:description>
  <cp:lastModifiedBy>Emma Nealgrove</cp:lastModifiedBy>
  <cp:revision>2</cp:revision>
  <cp:lastPrinted>2018-03-16T13:36:00Z</cp:lastPrinted>
  <dcterms:created xsi:type="dcterms:W3CDTF">2021-11-19T14:48:00Z</dcterms:created>
  <dcterms:modified xsi:type="dcterms:W3CDTF">2021-11-19T14:48:00Z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