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4D3C09D0" w:rsidR="005E1013" w:rsidRDefault="00337A7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071EA">
            <w:rPr>
              <w:rStyle w:val="TitleChar"/>
            </w:rPr>
            <w:t>Infection Prevention and Control (IPC) Lead</w:t>
          </w:r>
        </w:sdtContent>
      </w:sdt>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Pr="00E2005A" w:rsidRDefault="00966F66" w:rsidP="00547A12">
            <w:pPr>
              <w:rPr>
                <w:b/>
                <w:bCs/>
              </w:rPr>
            </w:pPr>
            <w:r w:rsidRPr="00E2005A">
              <w:rPr>
                <w:b/>
                <w:bCs/>
              </w:rPr>
              <w:t>Job title:</w:t>
            </w:r>
          </w:p>
        </w:tc>
        <w:tc>
          <w:tcPr>
            <w:tcW w:w="6706" w:type="dxa"/>
            <w:vAlign w:val="center"/>
          </w:tcPr>
          <w:p w14:paraId="1C40CEC4" w14:textId="6781D69A" w:rsidR="00966F66" w:rsidRPr="000027EE" w:rsidRDefault="007071EA" w:rsidP="00547A12">
            <w:pPr>
              <w:rPr>
                <w:rFonts w:eastAsia="Gill Sans MT" w:cs="Calibri"/>
                <w:szCs w:val="22"/>
              </w:rPr>
            </w:pPr>
            <w:r>
              <w:rPr>
                <w:rFonts w:eastAsia="Gill Sans MT" w:cs="Calibri"/>
                <w:szCs w:val="22"/>
              </w:rPr>
              <w:t>Infection Prevention and Control (IPC) Lead</w:t>
            </w:r>
          </w:p>
        </w:tc>
      </w:tr>
      <w:tr w:rsidR="00966F66" w14:paraId="19AB6488" w14:textId="77777777" w:rsidTr="1E5E83AD">
        <w:tc>
          <w:tcPr>
            <w:tcW w:w="3256" w:type="dxa"/>
            <w:vAlign w:val="center"/>
          </w:tcPr>
          <w:p w14:paraId="755D3B7A" w14:textId="3D2363B8" w:rsidR="00966F66" w:rsidRPr="00E2005A" w:rsidRDefault="00966F66" w:rsidP="00547A12">
            <w:pPr>
              <w:rPr>
                <w:b/>
                <w:bCs/>
              </w:rPr>
            </w:pPr>
            <w:r w:rsidRPr="00E2005A">
              <w:rPr>
                <w:b/>
                <w:bCs/>
              </w:rPr>
              <w:t>Department:</w:t>
            </w:r>
          </w:p>
        </w:tc>
        <w:tc>
          <w:tcPr>
            <w:tcW w:w="6706" w:type="dxa"/>
            <w:vAlign w:val="center"/>
          </w:tcPr>
          <w:p w14:paraId="14BFB5BA" w14:textId="227599EF" w:rsidR="00966F66" w:rsidRPr="000027EE" w:rsidRDefault="0073024B" w:rsidP="00547A12">
            <w:pPr>
              <w:rPr>
                <w:rFonts w:eastAsia="Gill Sans MT" w:cs="Calibri"/>
                <w:szCs w:val="22"/>
              </w:rPr>
            </w:pPr>
            <w:r>
              <w:rPr>
                <w:rFonts w:eastAsia="Gill Sans MT" w:cs="Calibri"/>
                <w:szCs w:val="22"/>
              </w:rPr>
              <w:t xml:space="preserve">Governance and Quality </w:t>
            </w:r>
          </w:p>
        </w:tc>
      </w:tr>
      <w:tr w:rsidR="00966F66" w14:paraId="5BA82C71" w14:textId="77777777" w:rsidTr="1E5E83AD">
        <w:tc>
          <w:tcPr>
            <w:tcW w:w="3256" w:type="dxa"/>
            <w:vAlign w:val="center"/>
          </w:tcPr>
          <w:p w14:paraId="5F3C8594" w14:textId="774214C3" w:rsidR="00966F66" w:rsidRPr="00E2005A" w:rsidRDefault="00966F66" w:rsidP="00547A12">
            <w:pPr>
              <w:rPr>
                <w:b/>
                <w:bCs/>
              </w:rPr>
            </w:pPr>
            <w:r w:rsidRPr="00E2005A">
              <w:rPr>
                <w:b/>
                <w:bCs/>
              </w:rPr>
              <w:t>Location:</w:t>
            </w:r>
          </w:p>
        </w:tc>
        <w:tc>
          <w:tcPr>
            <w:tcW w:w="6706" w:type="dxa"/>
            <w:vAlign w:val="center"/>
          </w:tcPr>
          <w:p w14:paraId="2FDD663E" w14:textId="155C180E" w:rsidR="00966F66" w:rsidRPr="000027EE" w:rsidRDefault="0073024B" w:rsidP="00547A12">
            <w:pPr>
              <w:rPr>
                <w:rFonts w:eastAsia="Gill Sans MT" w:cs="Calibri"/>
                <w:szCs w:val="22"/>
              </w:rPr>
            </w:pPr>
            <w:r>
              <w:rPr>
                <w:rFonts w:eastAsia="Gill Sans MT" w:cs="Calibri"/>
                <w:szCs w:val="22"/>
              </w:rPr>
              <w:t>Remote (</w:t>
            </w:r>
            <w:r w:rsidR="00B1302A">
              <w:rPr>
                <w:rFonts w:eastAsia="Gill Sans MT" w:cs="Calibri"/>
                <w:szCs w:val="22"/>
              </w:rPr>
              <w:t xml:space="preserve">with some </w:t>
            </w:r>
            <w:r>
              <w:rPr>
                <w:rFonts w:eastAsia="Gill Sans MT" w:cs="Calibri"/>
                <w:szCs w:val="22"/>
              </w:rPr>
              <w:t>travel</w:t>
            </w:r>
            <w:r w:rsidR="00B1302A">
              <w:rPr>
                <w:rFonts w:eastAsia="Gill Sans MT" w:cs="Calibri"/>
                <w:szCs w:val="22"/>
              </w:rPr>
              <w:t xml:space="preserve"> to sites</w:t>
            </w:r>
            <w:r>
              <w:rPr>
                <w:rFonts w:eastAsia="Gill Sans MT" w:cs="Calibri"/>
                <w:szCs w:val="22"/>
              </w:rPr>
              <w:t>)</w:t>
            </w:r>
          </w:p>
        </w:tc>
      </w:tr>
      <w:tr w:rsidR="00966F66" w14:paraId="61E91F65" w14:textId="77777777" w:rsidTr="00547A12">
        <w:trPr>
          <w:trHeight w:val="558"/>
        </w:trPr>
        <w:tc>
          <w:tcPr>
            <w:tcW w:w="3256" w:type="dxa"/>
            <w:vAlign w:val="center"/>
          </w:tcPr>
          <w:p w14:paraId="5DBDD5AC" w14:textId="625D7CB5" w:rsidR="00966F66" w:rsidRPr="00E2005A" w:rsidRDefault="00966F66" w:rsidP="00547A12">
            <w:pPr>
              <w:rPr>
                <w:b/>
                <w:bCs/>
              </w:rPr>
            </w:pPr>
            <w:r w:rsidRPr="00E2005A">
              <w:rPr>
                <w:b/>
                <w:bCs/>
              </w:rPr>
              <w:t>Reporting to:</w:t>
            </w:r>
          </w:p>
        </w:tc>
        <w:tc>
          <w:tcPr>
            <w:tcW w:w="6706" w:type="dxa"/>
            <w:vAlign w:val="center"/>
          </w:tcPr>
          <w:p w14:paraId="56BB1388" w14:textId="0316A231" w:rsidR="00966F66" w:rsidRPr="000027EE" w:rsidRDefault="00DB520A" w:rsidP="00547A12">
            <w:pPr>
              <w:rPr>
                <w:rFonts w:eastAsia="Gill Sans MT" w:cs="Calibri"/>
                <w:szCs w:val="22"/>
              </w:rPr>
            </w:pPr>
            <w:r>
              <w:rPr>
                <w:rFonts w:eastAsia="Gill Sans MT" w:cs="Calibri"/>
                <w:szCs w:val="22"/>
              </w:rPr>
              <w:t>Patient Safety and Risk Lead</w:t>
            </w:r>
            <w:r w:rsidR="0073024B">
              <w:rPr>
                <w:rFonts w:eastAsia="Gill Sans MT" w:cs="Calibri"/>
                <w:szCs w:val="22"/>
              </w:rPr>
              <w:t xml:space="preserve"> </w:t>
            </w:r>
          </w:p>
        </w:tc>
      </w:tr>
      <w:tr w:rsidR="00966F66" w14:paraId="13153721" w14:textId="77777777" w:rsidTr="1E5E83AD">
        <w:tc>
          <w:tcPr>
            <w:tcW w:w="3256" w:type="dxa"/>
            <w:vAlign w:val="center"/>
          </w:tcPr>
          <w:p w14:paraId="47666179" w14:textId="2AD38F3C" w:rsidR="00966F66" w:rsidRPr="00E2005A" w:rsidRDefault="00966F66" w:rsidP="00547A12">
            <w:pPr>
              <w:rPr>
                <w:b/>
                <w:bCs/>
              </w:rPr>
            </w:pPr>
            <w:r w:rsidRPr="00E2005A">
              <w:rPr>
                <w:b/>
                <w:bCs/>
              </w:rPr>
              <w:t>Direct reports:</w:t>
            </w:r>
          </w:p>
        </w:tc>
        <w:tc>
          <w:tcPr>
            <w:tcW w:w="6706" w:type="dxa"/>
            <w:vAlign w:val="center"/>
          </w:tcPr>
          <w:p w14:paraId="3DB63B7E" w14:textId="6716D7EC" w:rsidR="00966F66" w:rsidRPr="000027EE" w:rsidRDefault="0073024B" w:rsidP="00547A12">
            <w:pPr>
              <w:rPr>
                <w:rFonts w:eastAsia="Gill Sans MT" w:cs="Calibri"/>
                <w:szCs w:val="22"/>
              </w:rPr>
            </w:pPr>
            <w:r>
              <w:rPr>
                <w:rFonts w:eastAsia="Gill Sans MT" w:cs="Calibri"/>
                <w:szCs w:val="22"/>
              </w:rPr>
              <w:t>Nil</w:t>
            </w:r>
          </w:p>
        </w:tc>
      </w:tr>
      <w:tr w:rsidR="00966F66" w14:paraId="61110A87" w14:textId="77777777" w:rsidTr="1E5E83AD">
        <w:tc>
          <w:tcPr>
            <w:tcW w:w="3256" w:type="dxa"/>
            <w:vAlign w:val="center"/>
          </w:tcPr>
          <w:p w14:paraId="2FF0A51C" w14:textId="56C375A7" w:rsidR="00966F66" w:rsidRPr="00E2005A" w:rsidRDefault="00966F66" w:rsidP="00547A12">
            <w:pPr>
              <w:rPr>
                <w:b/>
                <w:bCs/>
              </w:rPr>
            </w:pPr>
            <w:r w:rsidRPr="00E2005A">
              <w:rPr>
                <w:b/>
                <w:bCs/>
              </w:rPr>
              <w:t xml:space="preserve">Accountable to: </w:t>
            </w:r>
          </w:p>
        </w:tc>
        <w:tc>
          <w:tcPr>
            <w:tcW w:w="6706" w:type="dxa"/>
            <w:vAlign w:val="center"/>
          </w:tcPr>
          <w:p w14:paraId="3DFAFEE2" w14:textId="3CD11D1A" w:rsidR="00966F66" w:rsidRPr="000027EE" w:rsidRDefault="00D35672" w:rsidP="00547A12">
            <w:pPr>
              <w:rPr>
                <w:rFonts w:cs="Calibri"/>
                <w:szCs w:val="22"/>
              </w:rPr>
            </w:pPr>
            <w:r>
              <w:rPr>
                <w:rFonts w:eastAsia="Gill Sans MT" w:cs="Calibri"/>
                <w:szCs w:val="22"/>
              </w:rPr>
              <w:t>Director</w:t>
            </w:r>
            <w:r w:rsidR="0073024B">
              <w:rPr>
                <w:rFonts w:eastAsia="Gill Sans MT" w:cs="Calibri"/>
                <w:szCs w:val="22"/>
              </w:rPr>
              <w:t xml:space="preserve"> of </w:t>
            </w:r>
            <w:r w:rsidR="00DB520A">
              <w:rPr>
                <w:rFonts w:eastAsia="Gill Sans MT" w:cs="Calibri"/>
                <w:szCs w:val="22"/>
              </w:rPr>
              <w:t xml:space="preserve">Clinical Services </w:t>
            </w:r>
          </w:p>
        </w:tc>
      </w:tr>
      <w:tr w:rsidR="00966F66" w14:paraId="34A2BEBB" w14:textId="77777777" w:rsidTr="1E5E83AD">
        <w:tc>
          <w:tcPr>
            <w:tcW w:w="3256" w:type="dxa"/>
            <w:vAlign w:val="center"/>
          </w:tcPr>
          <w:p w14:paraId="5D8CED71" w14:textId="47B9CCF8" w:rsidR="00966F66" w:rsidRPr="00E2005A" w:rsidRDefault="00966F66" w:rsidP="00547A12">
            <w:pPr>
              <w:rPr>
                <w:b/>
                <w:bCs/>
              </w:rPr>
            </w:pPr>
            <w:r w:rsidRPr="00E2005A">
              <w:rPr>
                <w:b/>
                <w:bCs/>
              </w:rPr>
              <w:t>Job purpose:</w:t>
            </w:r>
          </w:p>
        </w:tc>
        <w:tc>
          <w:tcPr>
            <w:tcW w:w="6706" w:type="dxa"/>
            <w:vAlign w:val="center"/>
          </w:tcPr>
          <w:p w14:paraId="04552DEF" w14:textId="127E664C" w:rsidR="002639E4" w:rsidRDefault="002639E4" w:rsidP="00547A12">
            <w:pPr>
              <w:rPr>
                <w:lang w:eastAsia="en-GB"/>
              </w:rPr>
            </w:pPr>
            <w:r>
              <w:rPr>
                <w:lang w:eastAsia="en-GB"/>
              </w:rPr>
              <w:t>A</w:t>
            </w:r>
            <w:r w:rsidR="00DB520A">
              <w:rPr>
                <w:lang w:eastAsia="en-GB"/>
              </w:rPr>
              <w:t>n</w:t>
            </w:r>
            <w:r>
              <w:rPr>
                <w:lang w:eastAsia="en-GB"/>
              </w:rPr>
              <w:t xml:space="preserve"> opportunity has arisen within Vita Health Group’s </w:t>
            </w:r>
            <w:r w:rsidR="00AA2D9F">
              <w:rPr>
                <w:lang w:eastAsia="en-GB"/>
              </w:rPr>
              <w:t>Safety and Risk</w:t>
            </w:r>
            <w:r>
              <w:rPr>
                <w:lang w:eastAsia="en-GB"/>
              </w:rPr>
              <w:t xml:space="preserve"> Team</w:t>
            </w:r>
            <w:r w:rsidR="007E138D">
              <w:rPr>
                <w:lang w:eastAsia="en-GB"/>
              </w:rPr>
              <w:t>.</w:t>
            </w:r>
            <w:r>
              <w:rPr>
                <w:lang w:eastAsia="en-GB"/>
              </w:rPr>
              <w:t xml:space="preserve"> </w:t>
            </w:r>
            <w:r w:rsidR="007E138D">
              <w:rPr>
                <w:lang w:eastAsia="en-GB"/>
              </w:rPr>
              <w:t>W</w:t>
            </w:r>
            <w:r>
              <w:rPr>
                <w:lang w:eastAsia="en-GB"/>
              </w:rPr>
              <w:t xml:space="preserve">e are looking for an enthusiastic, </w:t>
            </w:r>
            <w:r w:rsidR="003B5154">
              <w:rPr>
                <w:lang w:eastAsia="en-GB"/>
              </w:rPr>
              <w:t>innovative,</w:t>
            </w:r>
            <w:r>
              <w:rPr>
                <w:lang w:eastAsia="en-GB"/>
              </w:rPr>
              <w:t xml:space="preserve"> and knowledgeable individual to lead</w:t>
            </w:r>
            <w:r w:rsidR="007E138D">
              <w:rPr>
                <w:lang w:eastAsia="en-GB"/>
              </w:rPr>
              <w:t xml:space="preserve"> Vita Health Groups</w:t>
            </w:r>
            <w:r>
              <w:rPr>
                <w:lang w:eastAsia="en-GB"/>
              </w:rPr>
              <w:t xml:space="preserve"> </w:t>
            </w:r>
            <w:r w:rsidR="007E138D">
              <w:rPr>
                <w:lang w:eastAsia="en-GB"/>
              </w:rPr>
              <w:t>I</w:t>
            </w:r>
            <w:r>
              <w:rPr>
                <w:lang w:eastAsia="en-GB"/>
              </w:rPr>
              <w:t xml:space="preserve">nfection </w:t>
            </w:r>
            <w:r w:rsidR="007E138D">
              <w:rPr>
                <w:lang w:eastAsia="en-GB"/>
              </w:rPr>
              <w:t>P</w:t>
            </w:r>
            <w:r>
              <w:rPr>
                <w:lang w:eastAsia="en-GB"/>
              </w:rPr>
              <w:t>revention</w:t>
            </w:r>
            <w:r w:rsidR="002F1DE0">
              <w:rPr>
                <w:lang w:eastAsia="en-GB"/>
              </w:rPr>
              <w:t xml:space="preserve"> and</w:t>
            </w:r>
            <w:r>
              <w:rPr>
                <w:lang w:eastAsia="en-GB"/>
              </w:rPr>
              <w:t xml:space="preserve"> </w:t>
            </w:r>
            <w:r w:rsidR="007E138D">
              <w:rPr>
                <w:lang w:eastAsia="en-GB"/>
              </w:rPr>
              <w:t>C</w:t>
            </w:r>
            <w:r>
              <w:rPr>
                <w:lang w:eastAsia="en-GB"/>
              </w:rPr>
              <w:t>ontrol (IPC)</w:t>
            </w:r>
            <w:r w:rsidR="007E138D">
              <w:rPr>
                <w:lang w:eastAsia="en-GB"/>
              </w:rPr>
              <w:t xml:space="preserve"> Strategy and</w:t>
            </w:r>
            <w:r>
              <w:rPr>
                <w:lang w:eastAsia="en-GB"/>
              </w:rPr>
              <w:t xml:space="preserve"> activities </w:t>
            </w:r>
            <w:r w:rsidR="007E138D">
              <w:rPr>
                <w:lang w:eastAsia="en-GB"/>
              </w:rPr>
              <w:t>organisation wide</w:t>
            </w:r>
            <w:r>
              <w:rPr>
                <w:lang w:eastAsia="en-GB"/>
              </w:rPr>
              <w:t>. The role will report to our</w:t>
            </w:r>
            <w:r w:rsidR="007E138D">
              <w:rPr>
                <w:lang w:eastAsia="en-GB"/>
              </w:rPr>
              <w:t xml:space="preserve"> Safety and Risk Lead</w:t>
            </w:r>
            <w:r>
              <w:rPr>
                <w:lang w:eastAsia="en-GB"/>
              </w:rPr>
              <w:t xml:space="preserve"> and will be key in ensuring </w:t>
            </w:r>
            <w:r w:rsidR="003B5154">
              <w:rPr>
                <w:lang w:eastAsia="en-GB"/>
              </w:rPr>
              <w:t>V</w:t>
            </w:r>
            <w:r w:rsidR="007E138D">
              <w:rPr>
                <w:lang w:eastAsia="en-GB"/>
              </w:rPr>
              <w:t>ita Health Group</w:t>
            </w:r>
            <w:r>
              <w:rPr>
                <w:lang w:eastAsia="en-GB"/>
              </w:rPr>
              <w:t xml:space="preserve"> delivers safe</w:t>
            </w:r>
            <w:r w:rsidR="003B5154">
              <w:rPr>
                <w:lang w:eastAsia="en-GB"/>
              </w:rPr>
              <w:t>,</w:t>
            </w:r>
            <w:r>
              <w:rPr>
                <w:lang w:eastAsia="en-GB"/>
              </w:rPr>
              <w:t xml:space="preserve"> quality care</w:t>
            </w:r>
            <w:r w:rsidR="003B5154">
              <w:rPr>
                <w:lang w:eastAsia="en-GB"/>
              </w:rPr>
              <w:t>,</w:t>
            </w:r>
            <w:r>
              <w:rPr>
                <w:lang w:eastAsia="en-GB"/>
              </w:rPr>
              <w:t xml:space="preserve"> to all the people it serves as well as ensuring safe practice and environments for all </w:t>
            </w:r>
            <w:r w:rsidR="005C542F">
              <w:rPr>
                <w:lang w:eastAsia="en-GB"/>
              </w:rPr>
              <w:t>c</w:t>
            </w:r>
            <w:r>
              <w:rPr>
                <w:lang w:eastAsia="en-GB"/>
              </w:rPr>
              <w:t>olleagues</w:t>
            </w:r>
            <w:r w:rsidR="006E3219">
              <w:rPr>
                <w:lang w:eastAsia="en-GB"/>
              </w:rPr>
              <w:t xml:space="preserve">. </w:t>
            </w:r>
            <w:r>
              <w:rPr>
                <w:lang w:eastAsia="en-GB"/>
              </w:rPr>
              <w:t xml:space="preserve"> </w:t>
            </w:r>
          </w:p>
          <w:p w14:paraId="52CFDEB9" w14:textId="77777777" w:rsidR="002639E4" w:rsidRDefault="002639E4" w:rsidP="00547A12">
            <w:pPr>
              <w:rPr>
                <w:lang w:eastAsia="en-GB"/>
              </w:rPr>
            </w:pPr>
          </w:p>
          <w:p w14:paraId="51752586" w14:textId="459BBB77" w:rsidR="00D471E8" w:rsidRPr="00D471E8" w:rsidRDefault="00D471E8" w:rsidP="00D471E8">
            <w:r w:rsidRPr="00D471E8">
              <w:t>The Infection Prevention and Control Lead is a senior specialist role responsible for leading, developing, and implementing infection prevention and control strategies across the organisation.</w:t>
            </w:r>
            <w:r w:rsidR="00026EA4">
              <w:t xml:space="preserve"> This includes ongoing review of the IPC framework</w:t>
            </w:r>
            <w:r w:rsidR="006B7CC8">
              <w:t xml:space="preserve"> and yearly IPC plan.</w:t>
            </w:r>
            <w:r w:rsidRPr="00D471E8">
              <w:t xml:space="preserve"> The postholder will work closely with </w:t>
            </w:r>
            <w:r w:rsidR="006B7CC8">
              <w:t xml:space="preserve">variously internal/external stakeholders and local </w:t>
            </w:r>
            <w:r w:rsidRPr="00D471E8">
              <w:t>multidisciplinary team</w:t>
            </w:r>
            <w:r w:rsidR="006B7CC8">
              <w:t>s</w:t>
            </w:r>
            <w:r w:rsidRPr="00D471E8">
              <w:t xml:space="preserve"> to ensure that all activities related to infection prevention</w:t>
            </w:r>
            <w:r w:rsidR="006B7CC8">
              <w:t xml:space="preserve"> and</w:t>
            </w:r>
            <w:r w:rsidRPr="00D471E8">
              <w:t xml:space="preserve"> control, and surveillance are compliant with local, national, and regulatory standards. </w:t>
            </w:r>
          </w:p>
          <w:p w14:paraId="027DF167" w14:textId="12DF517F" w:rsidR="00E11E54" w:rsidRPr="00E11E54" w:rsidRDefault="00E11E54" w:rsidP="00E20F95">
            <w:pPr>
              <w:rPr>
                <w:bCs/>
                <w:szCs w:val="22"/>
                <w:lang w:eastAsia="en-GB"/>
              </w:rPr>
            </w:pPr>
          </w:p>
        </w:tc>
      </w:tr>
      <w:tr w:rsidR="00966F66" w14:paraId="3CFD1385" w14:textId="77777777" w:rsidTr="1E5E83AD">
        <w:tc>
          <w:tcPr>
            <w:tcW w:w="3256" w:type="dxa"/>
            <w:vAlign w:val="center"/>
          </w:tcPr>
          <w:p w14:paraId="627BDC42" w14:textId="77777777" w:rsidR="00966F66" w:rsidRPr="00E2005A" w:rsidRDefault="00966F66" w:rsidP="00547A12">
            <w:pPr>
              <w:rPr>
                <w:b/>
                <w:bCs/>
              </w:rPr>
            </w:pPr>
            <w:r w:rsidRPr="00E2005A">
              <w:rPr>
                <w:b/>
                <w:bCs/>
              </w:rPr>
              <w:t>Role and Responsibilities:</w:t>
            </w:r>
          </w:p>
        </w:tc>
        <w:tc>
          <w:tcPr>
            <w:tcW w:w="6706" w:type="dxa"/>
            <w:vAlign w:val="center"/>
          </w:tcPr>
          <w:p w14:paraId="71BB3D29" w14:textId="77777777" w:rsidR="00E2005A" w:rsidRPr="00E2005A" w:rsidRDefault="00E2005A" w:rsidP="00E2005A">
            <w:pPr>
              <w:rPr>
                <w:b/>
                <w:bCs/>
                <w:szCs w:val="22"/>
                <w:lang w:eastAsia="en-GB"/>
              </w:rPr>
            </w:pPr>
            <w:r w:rsidRPr="00E2005A">
              <w:rPr>
                <w:b/>
                <w:bCs/>
                <w:szCs w:val="22"/>
                <w:lang w:eastAsia="en-GB"/>
              </w:rPr>
              <w:t>1. Leadership and Strategy:</w:t>
            </w:r>
          </w:p>
          <w:p w14:paraId="37262F14" w14:textId="77777777" w:rsidR="00E2005A" w:rsidRPr="00E2005A" w:rsidRDefault="00E2005A" w:rsidP="00337A72">
            <w:pPr>
              <w:numPr>
                <w:ilvl w:val="0"/>
                <w:numId w:val="23"/>
              </w:numPr>
              <w:rPr>
                <w:bCs/>
                <w:szCs w:val="22"/>
                <w:lang w:eastAsia="en-GB"/>
              </w:rPr>
            </w:pPr>
            <w:r w:rsidRPr="00E2005A">
              <w:rPr>
                <w:bCs/>
                <w:szCs w:val="22"/>
                <w:lang w:eastAsia="en-GB"/>
              </w:rPr>
              <w:t>Lead the development, implementation, and monitoring of the organization’s Infection Prevention and Control (IPC) policies and procedures.</w:t>
            </w:r>
          </w:p>
          <w:p w14:paraId="4EE8DC5E" w14:textId="77777777" w:rsidR="00E2005A" w:rsidRPr="00E2005A" w:rsidRDefault="00E2005A" w:rsidP="00337A72">
            <w:pPr>
              <w:numPr>
                <w:ilvl w:val="0"/>
                <w:numId w:val="23"/>
              </w:numPr>
              <w:rPr>
                <w:bCs/>
                <w:szCs w:val="22"/>
                <w:lang w:eastAsia="en-GB"/>
              </w:rPr>
            </w:pPr>
            <w:r w:rsidRPr="00E2005A">
              <w:rPr>
                <w:bCs/>
                <w:szCs w:val="22"/>
                <w:lang w:eastAsia="en-GB"/>
              </w:rPr>
              <w:t>Provide strategic advice and guidance to the Executive Team, clinical leaders, and staff on IPC issues.</w:t>
            </w:r>
          </w:p>
          <w:p w14:paraId="565AF4A3" w14:textId="77777777" w:rsidR="00E2005A" w:rsidRPr="00E2005A" w:rsidRDefault="00E2005A" w:rsidP="00337A72">
            <w:pPr>
              <w:numPr>
                <w:ilvl w:val="0"/>
                <w:numId w:val="23"/>
              </w:numPr>
              <w:rPr>
                <w:bCs/>
                <w:szCs w:val="22"/>
                <w:lang w:eastAsia="en-GB"/>
              </w:rPr>
            </w:pPr>
            <w:r w:rsidRPr="00E2005A">
              <w:rPr>
                <w:bCs/>
                <w:szCs w:val="22"/>
                <w:lang w:eastAsia="en-GB"/>
              </w:rPr>
              <w:t xml:space="preserve">Ensure that the IPC strategy aligns with national guidance and best practices, including those from Public Health England </w:t>
            </w:r>
            <w:r w:rsidRPr="00E2005A">
              <w:rPr>
                <w:bCs/>
                <w:szCs w:val="22"/>
                <w:lang w:eastAsia="en-GB"/>
              </w:rPr>
              <w:lastRenderedPageBreak/>
              <w:t>(PHE), Care Quality Commission (CQC), and other regulatory bodies.</w:t>
            </w:r>
          </w:p>
          <w:p w14:paraId="45CE1CF6" w14:textId="02321D16" w:rsidR="00E2005A" w:rsidRDefault="00E2005A" w:rsidP="00337A72">
            <w:pPr>
              <w:numPr>
                <w:ilvl w:val="0"/>
                <w:numId w:val="24"/>
              </w:numPr>
              <w:rPr>
                <w:bCs/>
                <w:szCs w:val="22"/>
                <w:lang w:eastAsia="en-GB"/>
              </w:rPr>
            </w:pPr>
            <w:r w:rsidRPr="00E2005A">
              <w:rPr>
                <w:bCs/>
                <w:szCs w:val="22"/>
                <w:lang w:eastAsia="en-GB"/>
              </w:rPr>
              <w:t>Participate in the development of the infection control annual work plan and contribute t</w:t>
            </w:r>
            <w:r w:rsidR="00C63177">
              <w:rPr>
                <w:bCs/>
                <w:szCs w:val="22"/>
                <w:lang w:eastAsia="en-GB"/>
              </w:rPr>
              <w:t xml:space="preserve">o relevant </w:t>
            </w:r>
            <w:r w:rsidRPr="00E2005A">
              <w:rPr>
                <w:bCs/>
                <w:szCs w:val="22"/>
                <w:lang w:eastAsia="en-GB"/>
              </w:rPr>
              <w:t xml:space="preserve">Infection Control </w:t>
            </w:r>
            <w:r w:rsidR="00C63177">
              <w:rPr>
                <w:bCs/>
                <w:szCs w:val="22"/>
                <w:lang w:eastAsia="en-GB"/>
              </w:rPr>
              <w:t>Forums</w:t>
            </w:r>
          </w:p>
          <w:p w14:paraId="2A98C022" w14:textId="77777777" w:rsidR="00C63177" w:rsidRPr="00E2005A" w:rsidRDefault="00C63177" w:rsidP="00C63177">
            <w:pPr>
              <w:ind w:left="720"/>
              <w:rPr>
                <w:bCs/>
                <w:szCs w:val="22"/>
                <w:lang w:eastAsia="en-GB"/>
              </w:rPr>
            </w:pPr>
          </w:p>
          <w:p w14:paraId="02D6258D" w14:textId="77777777" w:rsidR="00E2005A" w:rsidRPr="00E2005A" w:rsidRDefault="00E2005A" w:rsidP="00E2005A">
            <w:pPr>
              <w:rPr>
                <w:b/>
                <w:bCs/>
                <w:szCs w:val="22"/>
                <w:lang w:eastAsia="en-GB"/>
              </w:rPr>
            </w:pPr>
            <w:r w:rsidRPr="00E2005A">
              <w:rPr>
                <w:b/>
                <w:bCs/>
                <w:szCs w:val="22"/>
                <w:lang w:eastAsia="en-GB"/>
              </w:rPr>
              <w:t>2. Clinical Expertise and Advice:</w:t>
            </w:r>
          </w:p>
          <w:p w14:paraId="6C6B4266" w14:textId="77777777" w:rsidR="00E2005A" w:rsidRPr="00E2005A" w:rsidRDefault="00E2005A" w:rsidP="00337A72">
            <w:pPr>
              <w:numPr>
                <w:ilvl w:val="0"/>
                <w:numId w:val="25"/>
              </w:numPr>
              <w:rPr>
                <w:bCs/>
                <w:szCs w:val="22"/>
                <w:lang w:eastAsia="en-GB"/>
              </w:rPr>
            </w:pPr>
            <w:r w:rsidRPr="00E2005A">
              <w:rPr>
                <w:bCs/>
                <w:szCs w:val="22"/>
                <w:lang w:eastAsia="en-GB"/>
              </w:rPr>
              <w:t>Act as the senior clinical expert on all matters relating to infection prevention and control, providing evidence-based advice on infection risk management.</w:t>
            </w:r>
          </w:p>
          <w:p w14:paraId="69DF3B64" w14:textId="77777777" w:rsidR="00E2005A" w:rsidRPr="00E2005A" w:rsidRDefault="00E2005A" w:rsidP="00337A72">
            <w:pPr>
              <w:numPr>
                <w:ilvl w:val="0"/>
                <w:numId w:val="25"/>
              </w:numPr>
              <w:rPr>
                <w:bCs/>
                <w:szCs w:val="22"/>
                <w:lang w:eastAsia="en-GB"/>
              </w:rPr>
            </w:pPr>
            <w:r w:rsidRPr="00E2005A">
              <w:rPr>
                <w:bCs/>
                <w:szCs w:val="22"/>
                <w:lang w:eastAsia="en-GB"/>
              </w:rPr>
              <w:t>Lead and support investigations of infection outbreaks and incidents, ensuring thorough root cause analyses are conducted and recommendations are implemented.</w:t>
            </w:r>
          </w:p>
          <w:p w14:paraId="33F6514E" w14:textId="77777777" w:rsidR="00E2005A" w:rsidRPr="00E2005A" w:rsidRDefault="00E2005A" w:rsidP="00337A72">
            <w:pPr>
              <w:numPr>
                <w:ilvl w:val="0"/>
                <w:numId w:val="25"/>
              </w:numPr>
              <w:rPr>
                <w:bCs/>
                <w:szCs w:val="22"/>
                <w:lang w:eastAsia="en-GB"/>
              </w:rPr>
            </w:pPr>
            <w:r w:rsidRPr="00E2005A">
              <w:rPr>
                <w:bCs/>
                <w:szCs w:val="22"/>
                <w:lang w:eastAsia="en-GB"/>
              </w:rPr>
              <w:t>Offer clinical guidance on the use of personal protective equipment (PPE), hand hygiene, antimicrobial stewardship, environmental cleaning, and patient isolation precautions.</w:t>
            </w:r>
          </w:p>
          <w:p w14:paraId="0B99FF58" w14:textId="28075A4E" w:rsidR="00E2005A" w:rsidRDefault="00E2005A" w:rsidP="00337A72">
            <w:pPr>
              <w:numPr>
                <w:ilvl w:val="0"/>
                <w:numId w:val="25"/>
              </w:numPr>
              <w:rPr>
                <w:bCs/>
                <w:szCs w:val="22"/>
                <w:lang w:eastAsia="en-GB"/>
              </w:rPr>
            </w:pPr>
            <w:r w:rsidRPr="00E2005A">
              <w:rPr>
                <w:bCs/>
                <w:szCs w:val="22"/>
                <w:lang w:eastAsia="en-GB"/>
              </w:rPr>
              <w:t xml:space="preserve">Inform VHG on Occupational Health practices </w:t>
            </w:r>
            <w:r w:rsidR="00B96FF4" w:rsidRPr="00E2005A">
              <w:rPr>
                <w:bCs/>
                <w:szCs w:val="22"/>
                <w:lang w:eastAsia="en-GB"/>
              </w:rPr>
              <w:t>required</w:t>
            </w:r>
            <w:r w:rsidRPr="00E2005A">
              <w:rPr>
                <w:bCs/>
                <w:szCs w:val="22"/>
                <w:lang w:eastAsia="en-GB"/>
              </w:rPr>
              <w:t xml:space="preserve"> to ensure staff health and safety in relation to infection prevention.</w:t>
            </w:r>
          </w:p>
          <w:p w14:paraId="0FF7CD36" w14:textId="77777777" w:rsidR="00C63177" w:rsidRPr="00E2005A" w:rsidRDefault="00C63177" w:rsidP="00C63177">
            <w:pPr>
              <w:ind w:left="720"/>
              <w:rPr>
                <w:bCs/>
                <w:szCs w:val="22"/>
                <w:lang w:eastAsia="en-GB"/>
              </w:rPr>
            </w:pPr>
          </w:p>
          <w:p w14:paraId="2DE59CED" w14:textId="77777777" w:rsidR="00E2005A" w:rsidRPr="00E2005A" w:rsidRDefault="00E2005A" w:rsidP="00E2005A">
            <w:pPr>
              <w:rPr>
                <w:b/>
                <w:bCs/>
                <w:szCs w:val="22"/>
                <w:lang w:eastAsia="en-GB"/>
              </w:rPr>
            </w:pPr>
            <w:r w:rsidRPr="00E2005A">
              <w:rPr>
                <w:b/>
                <w:bCs/>
                <w:szCs w:val="22"/>
                <w:lang w:eastAsia="en-GB"/>
              </w:rPr>
              <w:t>3. Surveillance and Reporting:</w:t>
            </w:r>
          </w:p>
          <w:p w14:paraId="5CC1EE49" w14:textId="77777777" w:rsidR="00E2005A" w:rsidRPr="00E2005A" w:rsidRDefault="00E2005A" w:rsidP="00337A72">
            <w:pPr>
              <w:numPr>
                <w:ilvl w:val="0"/>
                <w:numId w:val="26"/>
              </w:numPr>
              <w:rPr>
                <w:bCs/>
                <w:szCs w:val="22"/>
                <w:lang w:eastAsia="en-GB"/>
              </w:rPr>
            </w:pPr>
            <w:r w:rsidRPr="00E2005A">
              <w:rPr>
                <w:bCs/>
                <w:szCs w:val="22"/>
                <w:lang w:eastAsia="en-GB"/>
              </w:rPr>
              <w:t>Develop and manage an effective surveillance program for healthcare-associated infections (HCAIs) and ensure compliance with mandatory reporting requirements.</w:t>
            </w:r>
          </w:p>
          <w:p w14:paraId="16DF5D95" w14:textId="77777777" w:rsidR="00E2005A" w:rsidRPr="00E2005A" w:rsidRDefault="00E2005A" w:rsidP="00337A72">
            <w:pPr>
              <w:numPr>
                <w:ilvl w:val="0"/>
                <w:numId w:val="26"/>
              </w:numPr>
              <w:rPr>
                <w:bCs/>
                <w:szCs w:val="22"/>
                <w:lang w:eastAsia="en-GB"/>
              </w:rPr>
            </w:pPr>
            <w:r w:rsidRPr="00E2005A">
              <w:rPr>
                <w:bCs/>
                <w:szCs w:val="22"/>
                <w:lang w:eastAsia="en-GB"/>
              </w:rPr>
              <w:t>Analyse infection data and trends, providing timely reports to senior management and relevant committees.</w:t>
            </w:r>
          </w:p>
          <w:p w14:paraId="1215E8A9" w14:textId="77777777" w:rsidR="00E2005A" w:rsidRDefault="00E2005A" w:rsidP="00337A72">
            <w:pPr>
              <w:numPr>
                <w:ilvl w:val="0"/>
                <w:numId w:val="26"/>
              </w:numPr>
              <w:rPr>
                <w:bCs/>
                <w:szCs w:val="22"/>
                <w:lang w:eastAsia="en-GB"/>
              </w:rPr>
            </w:pPr>
            <w:r w:rsidRPr="00E2005A">
              <w:rPr>
                <w:bCs/>
                <w:szCs w:val="22"/>
                <w:lang w:eastAsia="en-GB"/>
              </w:rPr>
              <w:t>Lead the investigation and reporting of infection outbreaks, ensuring that all actions are documented and communicated to relevant stakeholders.</w:t>
            </w:r>
          </w:p>
          <w:p w14:paraId="7AAEE193" w14:textId="6848B55C" w:rsidR="004F0177" w:rsidRPr="004F0177" w:rsidRDefault="004F0177" w:rsidP="00337A72">
            <w:pPr>
              <w:numPr>
                <w:ilvl w:val="0"/>
                <w:numId w:val="26"/>
              </w:numPr>
              <w:rPr>
                <w:bCs/>
                <w:szCs w:val="22"/>
                <w:lang w:eastAsia="en-GB"/>
              </w:rPr>
            </w:pPr>
            <w:r>
              <w:rPr>
                <w:bCs/>
                <w:szCs w:val="22"/>
                <w:lang w:eastAsia="en-GB"/>
              </w:rPr>
              <w:t>Support local teams to report to appropriate external healthcare bodies</w:t>
            </w:r>
          </w:p>
          <w:p w14:paraId="14C62928" w14:textId="77777777" w:rsidR="00B96FF4" w:rsidRPr="00E2005A" w:rsidRDefault="00B96FF4" w:rsidP="00B96FF4">
            <w:pPr>
              <w:ind w:left="720"/>
              <w:rPr>
                <w:bCs/>
                <w:szCs w:val="22"/>
                <w:lang w:eastAsia="en-GB"/>
              </w:rPr>
            </w:pPr>
          </w:p>
          <w:p w14:paraId="6D8B5277" w14:textId="77777777" w:rsidR="00E2005A" w:rsidRPr="00E2005A" w:rsidRDefault="00E2005A" w:rsidP="00E2005A">
            <w:pPr>
              <w:rPr>
                <w:b/>
                <w:bCs/>
                <w:szCs w:val="22"/>
                <w:lang w:eastAsia="en-GB"/>
              </w:rPr>
            </w:pPr>
            <w:r w:rsidRPr="00E2005A">
              <w:rPr>
                <w:b/>
                <w:bCs/>
                <w:szCs w:val="22"/>
                <w:lang w:eastAsia="en-GB"/>
              </w:rPr>
              <w:t>4. Education and Training:</w:t>
            </w:r>
          </w:p>
          <w:p w14:paraId="14E78C7B" w14:textId="77777777" w:rsidR="00E2005A" w:rsidRPr="00E2005A" w:rsidRDefault="00E2005A" w:rsidP="00337A72">
            <w:pPr>
              <w:numPr>
                <w:ilvl w:val="0"/>
                <w:numId w:val="27"/>
              </w:numPr>
              <w:rPr>
                <w:bCs/>
                <w:szCs w:val="22"/>
                <w:lang w:eastAsia="en-GB"/>
              </w:rPr>
            </w:pPr>
            <w:r w:rsidRPr="00E2005A">
              <w:rPr>
                <w:bCs/>
                <w:szCs w:val="22"/>
                <w:lang w:eastAsia="en-GB"/>
              </w:rPr>
              <w:t>Develop and deliver a comprehensive IPC education and training program for all staff, including induction, mandatory training, and targeted sessions for high-risk areas.</w:t>
            </w:r>
          </w:p>
          <w:p w14:paraId="1204F7DE" w14:textId="3AE618D6" w:rsidR="00E2005A" w:rsidRPr="00E2005A" w:rsidRDefault="00E908C2" w:rsidP="00337A72">
            <w:pPr>
              <w:numPr>
                <w:ilvl w:val="0"/>
                <w:numId w:val="27"/>
              </w:numPr>
              <w:rPr>
                <w:bCs/>
                <w:szCs w:val="22"/>
                <w:lang w:eastAsia="en-GB"/>
              </w:rPr>
            </w:pPr>
            <w:r>
              <w:rPr>
                <w:bCs/>
                <w:szCs w:val="22"/>
                <w:lang w:eastAsia="en-GB"/>
              </w:rPr>
              <w:t>Support Infection Prevention Champions and support them to challenge productively</w:t>
            </w:r>
            <w:r w:rsidR="00E2005A" w:rsidRPr="00E2005A">
              <w:rPr>
                <w:bCs/>
                <w:szCs w:val="22"/>
                <w:lang w:eastAsia="en-GB"/>
              </w:rPr>
              <w:t xml:space="preserve"> infection prevention practices.</w:t>
            </w:r>
          </w:p>
          <w:p w14:paraId="63A5C76E" w14:textId="77777777" w:rsidR="00E2005A" w:rsidRDefault="00E2005A" w:rsidP="00337A72">
            <w:pPr>
              <w:numPr>
                <w:ilvl w:val="0"/>
                <w:numId w:val="27"/>
              </w:numPr>
              <w:rPr>
                <w:bCs/>
                <w:szCs w:val="22"/>
                <w:lang w:eastAsia="en-GB"/>
              </w:rPr>
            </w:pPr>
            <w:r w:rsidRPr="00E2005A">
              <w:rPr>
                <w:bCs/>
                <w:szCs w:val="22"/>
                <w:lang w:eastAsia="en-GB"/>
              </w:rPr>
              <w:t>Ensure staff are informed and trained on new developments, guidelines, and regulatory changes in infection control.</w:t>
            </w:r>
          </w:p>
          <w:p w14:paraId="2699EDEC" w14:textId="77777777" w:rsidR="004F0177" w:rsidRPr="00E2005A" w:rsidRDefault="004F0177" w:rsidP="004F0177">
            <w:pPr>
              <w:ind w:left="720"/>
              <w:rPr>
                <w:bCs/>
                <w:szCs w:val="22"/>
                <w:lang w:eastAsia="en-GB"/>
              </w:rPr>
            </w:pPr>
          </w:p>
          <w:p w14:paraId="69E0A13F" w14:textId="77777777" w:rsidR="00E2005A" w:rsidRPr="00E2005A" w:rsidRDefault="00E2005A" w:rsidP="00E2005A">
            <w:pPr>
              <w:rPr>
                <w:b/>
                <w:bCs/>
                <w:szCs w:val="22"/>
                <w:lang w:eastAsia="en-GB"/>
              </w:rPr>
            </w:pPr>
            <w:r w:rsidRPr="00E2005A">
              <w:rPr>
                <w:b/>
                <w:bCs/>
                <w:szCs w:val="22"/>
                <w:lang w:eastAsia="en-GB"/>
              </w:rPr>
              <w:t>5. Policy Development and Compliance:</w:t>
            </w:r>
          </w:p>
          <w:p w14:paraId="6996E95E" w14:textId="77777777" w:rsidR="00E2005A" w:rsidRPr="00E2005A" w:rsidRDefault="00E2005A" w:rsidP="00337A72">
            <w:pPr>
              <w:numPr>
                <w:ilvl w:val="0"/>
                <w:numId w:val="28"/>
              </w:numPr>
              <w:rPr>
                <w:bCs/>
                <w:szCs w:val="22"/>
                <w:lang w:eastAsia="en-GB"/>
              </w:rPr>
            </w:pPr>
            <w:r w:rsidRPr="00E2005A">
              <w:rPr>
                <w:bCs/>
                <w:szCs w:val="22"/>
                <w:lang w:eastAsia="en-GB"/>
              </w:rPr>
              <w:t>Develop, implement, and review IPC policies, ensuring alignment with local, national, and international standards and guidelines.</w:t>
            </w:r>
          </w:p>
          <w:p w14:paraId="5D83A22C" w14:textId="77777777" w:rsidR="00E2005A" w:rsidRPr="00E2005A" w:rsidRDefault="00E2005A" w:rsidP="00337A72">
            <w:pPr>
              <w:numPr>
                <w:ilvl w:val="0"/>
                <w:numId w:val="28"/>
              </w:numPr>
              <w:rPr>
                <w:bCs/>
                <w:szCs w:val="22"/>
                <w:lang w:eastAsia="en-GB"/>
              </w:rPr>
            </w:pPr>
            <w:r w:rsidRPr="00E2005A">
              <w:rPr>
                <w:bCs/>
                <w:szCs w:val="22"/>
                <w:lang w:eastAsia="en-GB"/>
              </w:rPr>
              <w:t>Ensure the organisation is compliant with IPC-related legislation and standards set by bodies such as the CQC, NICE, and MHRA.</w:t>
            </w:r>
          </w:p>
          <w:p w14:paraId="1DF168D3" w14:textId="77777777" w:rsidR="00E2005A" w:rsidRDefault="00E2005A" w:rsidP="00337A72">
            <w:pPr>
              <w:numPr>
                <w:ilvl w:val="0"/>
                <w:numId w:val="28"/>
              </w:numPr>
              <w:rPr>
                <w:bCs/>
                <w:szCs w:val="22"/>
                <w:lang w:eastAsia="en-GB"/>
              </w:rPr>
            </w:pPr>
            <w:r w:rsidRPr="00E2005A">
              <w:rPr>
                <w:bCs/>
                <w:szCs w:val="22"/>
                <w:lang w:eastAsia="en-GB"/>
              </w:rPr>
              <w:t>Regularly audit IPC practices and compliance, producing reports and action plans where necessary to drive improvement.</w:t>
            </w:r>
          </w:p>
          <w:p w14:paraId="00FD2F9D" w14:textId="637B279C" w:rsidR="00BD03ED" w:rsidRDefault="00BD03ED" w:rsidP="00337A72">
            <w:pPr>
              <w:numPr>
                <w:ilvl w:val="0"/>
                <w:numId w:val="29"/>
              </w:numPr>
              <w:rPr>
                <w:bCs/>
                <w:szCs w:val="22"/>
                <w:lang w:eastAsia="en-GB"/>
              </w:rPr>
            </w:pPr>
            <w:r>
              <w:rPr>
                <w:bCs/>
                <w:szCs w:val="22"/>
                <w:lang w:eastAsia="en-GB"/>
              </w:rPr>
              <w:lastRenderedPageBreak/>
              <w:t>Support with local level environment audits</w:t>
            </w:r>
            <w:r w:rsidR="009C3F2D">
              <w:rPr>
                <w:bCs/>
                <w:szCs w:val="22"/>
                <w:lang w:eastAsia="en-GB"/>
              </w:rPr>
              <w:t xml:space="preserve">/IPC audits to ensure assurance with standards </w:t>
            </w:r>
          </w:p>
          <w:p w14:paraId="074B4CF7" w14:textId="77777777" w:rsidR="00B448D2" w:rsidRPr="00E2005A" w:rsidRDefault="00B448D2" w:rsidP="00B448D2">
            <w:pPr>
              <w:ind w:left="720"/>
              <w:rPr>
                <w:bCs/>
                <w:szCs w:val="22"/>
                <w:lang w:eastAsia="en-GB"/>
              </w:rPr>
            </w:pPr>
          </w:p>
          <w:p w14:paraId="514F1D46" w14:textId="77777777" w:rsidR="00E2005A" w:rsidRPr="00E2005A" w:rsidRDefault="00E2005A" w:rsidP="00E2005A">
            <w:pPr>
              <w:rPr>
                <w:b/>
                <w:bCs/>
                <w:szCs w:val="22"/>
                <w:lang w:eastAsia="en-GB"/>
              </w:rPr>
            </w:pPr>
            <w:r w:rsidRPr="00E2005A">
              <w:rPr>
                <w:b/>
                <w:bCs/>
                <w:szCs w:val="22"/>
                <w:lang w:eastAsia="en-GB"/>
              </w:rPr>
              <w:t>6. Quality Improvement and Risk Management:</w:t>
            </w:r>
          </w:p>
          <w:p w14:paraId="6322F03A" w14:textId="77777777" w:rsidR="00E2005A" w:rsidRPr="00E2005A" w:rsidRDefault="00E2005A" w:rsidP="00337A72">
            <w:pPr>
              <w:numPr>
                <w:ilvl w:val="0"/>
                <w:numId w:val="30"/>
              </w:numPr>
              <w:rPr>
                <w:bCs/>
                <w:szCs w:val="22"/>
                <w:lang w:eastAsia="en-GB"/>
              </w:rPr>
            </w:pPr>
            <w:r w:rsidRPr="00E2005A">
              <w:rPr>
                <w:bCs/>
                <w:szCs w:val="22"/>
                <w:lang w:eastAsia="en-GB"/>
              </w:rPr>
              <w:t>Lead quality improvement projects related to IPC, using data to drive decision-making and improve patient care outcomes.</w:t>
            </w:r>
          </w:p>
          <w:p w14:paraId="4E66CD31" w14:textId="77777777" w:rsidR="00E2005A" w:rsidRPr="00E2005A" w:rsidRDefault="00E2005A" w:rsidP="00337A72">
            <w:pPr>
              <w:numPr>
                <w:ilvl w:val="0"/>
                <w:numId w:val="30"/>
              </w:numPr>
              <w:rPr>
                <w:bCs/>
                <w:szCs w:val="22"/>
                <w:lang w:eastAsia="en-GB"/>
              </w:rPr>
            </w:pPr>
            <w:r w:rsidRPr="00E2005A">
              <w:rPr>
                <w:bCs/>
                <w:szCs w:val="22"/>
                <w:lang w:eastAsia="en-GB"/>
              </w:rPr>
              <w:t>Work closely with clinical governance, patient safety, and risk management teams to identify and mitigate infection-related risks across the organization.</w:t>
            </w:r>
          </w:p>
          <w:p w14:paraId="58DAAEC2" w14:textId="77777777" w:rsidR="00E2005A" w:rsidRDefault="00E2005A" w:rsidP="00337A72">
            <w:pPr>
              <w:numPr>
                <w:ilvl w:val="0"/>
                <w:numId w:val="30"/>
              </w:numPr>
              <w:rPr>
                <w:bCs/>
                <w:szCs w:val="22"/>
                <w:lang w:eastAsia="en-GB"/>
              </w:rPr>
            </w:pPr>
            <w:r w:rsidRPr="00E2005A">
              <w:rPr>
                <w:bCs/>
                <w:szCs w:val="22"/>
                <w:lang w:eastAsia="en-GB"/>
              </w:rPr>
              <w:t>Participate in clinical audits and ensure IPC considerations are embedded in risk assessments and incident reporting.</w:t>
            </w:r>
          </w:p>
          <w:p w14:paraId="3CA2F5B3" w14:textId="04056591" w:rsidR="00E730AE" w:rsidRDefault="00E730AE" w:rsidP="00337A72">
            <w:pPr>
              <w:numPr>
                <w:ilvl w:val="0"/>
                <w:numId w:val="30"/>
              </w:numPr>
              <w:rPr>
                <w:bCs/>
                <w:szCs w:val="22"/>
                <w:lang w:eastAsia="en-GB"/>
              </w:rPr>
            </w:pPr>
            <w:r>
              <w:rPr>
                <w:bCs/>
                <w:szCs w:val="22"/>
                <w:lang w:eastAsia="en-GB"/>
              </w:rPr>
              <w:t xml:space="preserve">Identify and escalate risks in relation to IPC and develop appropriate mitigations/actions plans. </w:t>
            </w:r>
          </w:p>
          <w:p w14:paraId="1037B509" w14:textId="4E71153D" w:rsidR="00E730AE" w:rsidRDefault="00E730AE" w:rsidP="00337A72">
            <w:pPr>
              <w:numPr>
                <w:ilvl w:val="0"/>
                <w:numId w:val="30"/>
              </w:numPr>
              <w:rPr>
                <w:bCs/>
                <w:szCs w:val="22"/>
                <w:lang w:eastAsia="en-GB"/>
              </w:rPr>
            </w:pPr>
            <w:r>
              <w:rPr>
                <w:bCs/>
                <w:szCs w:val="22"/>
                <w:lang w:eastAsia="en-GB"/>
              </w:rPr>
              <w:t>Develop/support development of local risk assessments in relation to IPC</w:t>
            </w:r>
          </w:p>
          <w:p w14:paraId="65464A5E" w14:textId="77777777" w:rsidR="00B448D2" w:rsidRPr="00E2005A" w:rsidRDefault="00B448D2" w:rsidP="00B448D2">
            <w:pPr>
              <w:ind w:left="720"/>
              <w:rPr>
                <w:bCs/>
                <w:szCs w:val="22"/>
                <w:lang w:eastAsia="en-GB"/>
              </w:rPr>
            </w:pPr>
          </w:p>
          <w:p w14:paraId="586F4023" w14:textId="77777777" w:rsidR="00E2005A" w:rsidRPr="00E2005A" w:rsidRDefault="00E2005A" w:rsidP="00E2005A">
            <w:pPr>
              <w:rPr>
                <w:b/>
                <w:bCs/>
                <w:szCs w:val="22"/>
                <w:lang w:eastAsia="en-GB"/>
              </w:rPr>
            </w:pPr>
            <w:r w:rsidRPr="00E2005A">
              <w:rPr>
                <w:b/>
                <w:bCs/>
                <w:szCs w:val="22"/>
                <w:lang w:eastAsia="en-GB"/>
              </w:rPr>
              <w:t>7. Collaboration and Partnerships:</w:t>
            </w:r>
          </w:p>
          <w:p w14:paraId="3EFC5BA0" w14:textId="77777777" w:rsidR="00E2005A" w:rsidRPr="00E2005A" w:rsidRDefault="00E2005A" w:rsidP="00337A72">
            <w:pPr>
              <w:numPr>
                <w:ilvl w:val="0"/>
                <w:numId w:val="31"/>
              </w:numPr>
              <w:rPr>
                <w:bCs/>
                <w:szCs w:val="22"/>
                <w:lang w:eastAsia="en-GB"/>
              </w:rPr>
            </w:pPr>
            <w:r w:rsidRPr="00E2005A">
              <w:rPr>
                <w:bCs/>
                <w:szCs w:val="22"/>
                <w:lang w:eastAsia="en-GB"/>
              </w:rPr>
              <w:t>Work in partnership with multidisciplinary teams, including medical, nursing, facilities, estates, and pharmacy, to implement IPC strategies across VHG.</w:t>
            </w:r>
          </w:p>
          <w:p w14:paraId="7253EBF4" w14:textId="77777777" w:rsidR="00E2005A" w:rsidRPr="00E2005A" w:rsidRDefault="00E2005A" w:rsidP="00337A72">
            <w:pPr>
              <w:numPr>
                <w:ilvl w:val="0"/>
                <w:numId w:val="31"/>
              </w:numPr>
              <w:rPr>
                <w:bCs/>
                <w:szCs w:val="22"/>
                <w:lang w:eastAsia="en-GB"/>
              </w:rPr>
            </w:pPr>
            <w:r w:rsidRPr="00E2005A">
              <w:rPr>
                <w:bCs/>
                <w:szCs w:val="22"/>
                <w:lang w:eastAsia="en-GB"/>
              </w:rPr>
              <w:t>Build relationships with external agencies and organisations to ensure the organisation remains compliant with best practices in infection control.</w:t>
            </w:r>
          </w:p>
          <w:p w14:paraId="188FDFE3" w14:textId="77777777" w:rsidR="00E2005A" w:rsidRDefault="00E2005A" w:rsidP="00337A72">
            <w:pPr>
              <w:numPr>
                <w:ilvl w:val="0"/>
                <w:numId w:val="31"/>
              </w:numPr>
              <w:rPr>
                <w:bCs/>
                <w:szCs w:val="22"/>
                <w:lang w:eastAsia="en-GB"/>
              </w:rPr>
            </w:pPr>
            <w:r w:rsidRPr="00E2005A">
              <w:rPr>
                <w:bCs/>
                <w:szCs w:val="22"/>
                <w:lang w:eastAsia="en-GB"/>
              </w:rPr>
              <w:t>Attend relevant regional and national IPC forums, ensuring the organisation is informed of emerging infection risks, new guidance, and shared learning.</w:t>
            </w:r>
          </w:p>
          <w:p w14:paraId="628CBED6" w14:textId="3FFD4544" w:rsidR="00E2005A" w:rsidRPr="00E2005A" w:rsidRDefault="009C3F2D" w:rsidP="00337A72">
            <w:pPr>
              <w:numPr>
                <w:ilvl w:val="0"/>
                <w:numId w:val="31"/>
              </w:numPr>
              <w:rPr>
                <w:bCs/>
                <w:szCs w:val="22"/>
                <w:lang w:eastAsia="en-GB"/>
              </w:rPr>
            </w:pPr>
            <w:r>
              <w:rPr>
                <w:bCs/>
                <w:szCs w:val="22"/>
                <w:lang w:eastAsia="en-GB"/>
              </w:rPr>
              <w:t>Attend appropriate assurance and oversight meetings</w:t>
            </w:r>
            <w:r w:rsidR="00E730AE">
              <w:rPr>
                <w:bCs/>
                <w:szCs w:val="22"/>
                <w:lang w:eastAsia="en-GB"/>
              </w:rPr>
              <w:t xml:space="preserve"> externally to provide assurance (</w:t>
            </w:r>
            <w:proofErr w:type="spellStart"/>
            <w:r w:rsidR="00E730AE">
              <w:rPr>
                <w:bCs/>
                <w:szCs w:val="22"/>
                <w:lang w:eastAsia="en-GB"/>
              </w:rPr>
              <w:t>ie</w:t>
            </w:r>
            <w:proofErr w:type="spellEnd"/>
            <w:r w:rsidR="00E730AE">
              <w:rPr>
                <w:bCs/>
                <w:szCs w:val="22"/>
                <w:lang w:eastAsia="en-GB"/>
              </w:rPr>
              <w:t xml:space="preserve"> local ICB). </w:t>
            </w:r>
          </w:p>
          <w:p w14:paraId="762E30BB" w14:textId="77777777" w:rsidR="00E11E54" w:rsidRPr="00E2005A" w:rsidRDefault="00E11E54" w:rsidP="00547A12">
            <w:pPr>
              <w:rPr>
                <w:bCs/>
                <w:szCs w:val="22"/>
                <w:lang w:eastAsia="en-GB"/>
              </w:rPr>
            </w:pPr>
          </w:p>
          <w:p w14:paraId="109D4BA9" w14:textId="33EDAC71" w:rsidR="00E96376" w:rsidRPr="00E2005A" w:rsidRDefault="00E83B5A" w:rsidP="00E730AE">
            <w:pPr>
              <w:pStyle w:val="BulletListDense"/>
              <w:numPr>
                <w:ilvl w:val="0"/>
                <w:numId w:val="0"/>
              </w:numPr>
              <w:ind w:left="360" w:hanging="360"/>
            </w:pPr>
            <w:r>
              <w:tab/>
            </w:r>
            <w:r w:rsidR="00E96376" w:rsidRPr="00E2005A">
              <w:t xml:space="preserve">Any additional IPC duties identified by the </w:t>
            </w:r>
            <w:r w:rsidR="00E730AE">
              <w:t xml:space="preserve">Safety and Risk Lead and/or Director of Clinical Services. </w:t>
            </w:r>
          </w:p>
          <w:p w14:paraId="44BDB607" w14:textId="5E2E4696" w:rsidR="00966F66" w:rsidRPr="00E2005A" w:rsidRDefault="00966F66" w:rsidP="006542DB">
            <w:pPr>
              <w:rPr>
                <w:rFonts w:eastAsia="Tw Cen MT" w:cs="Times New Roman"/>
                <w:szCs w:val="22"/>
              </w:rPr>
            </w:pPr>
          </w:p>
        </w:tc>
      </w:tr>
      <w:tr w:rsidR="006542DB" w14:paraId="6AB4880A" w14:textId="77777777" w:rsidTr="1E5E83AD">
        <w:tc>
          <w:tcPr>
            <w:tcW w:w="3256" w:type="dxa"/>
            <w:vAlign w:val="center"/>
          </w:tcPr>
          <w:p w14:paraId="60AB18B0" w14:textId="7030F48A" w:rsidR="006542DB" w:rsidRDefault="006542DB" w:rsidP="00547A12">
            <w:r>
              <w:lastRenderedPageBreak/>
              <w:t>Equality Diversity &amp; Inclusion (EDI)</w:t>
            </w:r>
          </w:p>
        </w:tc>
        <w:tc>
          <w:tcPr>
            <w:tcW w:w="6706" w:type="dxa"/>
            <w:vAlign w:val="center"/>
          </w:tcPr>
          <w:p w14:paraId="02A0E60F" w14:textId="77777777" w:rsidR="006542DB" w:rsidRPr="00337A72" w:rsidRDefault="006542DB" w:rsidP="006542DB">
            <w:pPr>
              <w:rPr>
                <w:rFonts w:eastAsia="Calibri" w:cs="Calibri"/>
                <w:color w:val="000000" w:themeColor="text1"/>
                <w:szCs w:val="22"/>
              </w:rPr>
            </w:pPr>
          </w:p>
          <w:p w14:paraId="71A683C3" w14:textId="77777777" w:rsidR="006542DB" w:rsidRPr="00337A72" w:rsidRDefault="006542DB" w:rsidP="006542DB">
            <w:pPr>
              <w:rPr>
                <w:b/>
                <w:bCs/>
                <w:color w:val="000000" w:themeColor="text1"/>
              </w:rPr>
            </w:pPr>
            <w:r w:rsidRPr="00337A72">
              <w:rPr>
                <w:rFonts w:eastAsia="Calibri" w:cs="Calibri"/>
                <w:b/>
                <w:bCs/>
                <w:color w:val="000000" w:themeColor="text1"/>
                <w:szCs w:val="22"/>
              </w:rPr>
              <w:t>Equality Diversity &amp; Inclusion (EDI)</w:t>
            </w:r>
          </w:p>
          <w:p w14:paraId="63509BC5" w14:textId="77777777" w:rsidR="00337A72" w:rsidRPr="00337A72" w:rsidRDefault="00337A72" w:rsidP="00337A72">
            <w:pPr>
              <w:rPr>
                <w:bCs/>
                <w:color w:val="000000" w:themeColor="text1"/>
                <w:szCs w:val="22"/>
                <w:lang w:eastAsia="en-GB"/>
              </w:rPr>
            </w:pPr>
            <w:r w:rsidRPr="00337A72">
              <w:rPr>
                <w:bCs/>
                <w:color w:val="000000" w:themeColor="text1"/>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2674C8C8" w14:textId="77777777" w:rsidR="00337A72" w:rsidRPr="00337A72" w:rsidRDefault="00337A72" w:rsidP="00337A72">
            <w:pPr>
              <w:rPr>
                <w:bCs/>
                <w:color w:val="000000" w:themeColor="text1"/>
                <w:szCs w:val="22"/>
                <w:lang w:eastAsia="en-GB"/>
              </w:rPr>
            </w:pPr>
            <w:r w:rsidRPr="00337A72">
              <w:rPr>
                <w:bCs/>
                <w:color w:val="000000" w:themeColor="text1"/>
                <w:szCs w:val="22"/>
                <w:lang w:eastAsia="en-GB"/>
              </w:rPr>
              <w:t> </w:t>
            </w:r>
          </w:p>
          <w:p w14:paraId="69476FEE" w14:textId="77777777" w:rsidR="00337A72" w:rsidRPr="00337A72" w:rsidRDefault="00337A72" w:rsidP="00337A72">
            <w:pPr>
              <w:numPr>
                <w:ilvl w:val="0"/>
                <w:numId w:val="22"/>
              </w:numPr>
              <w:rPr>
                <w:bCs/>
                <w:color w:val="000000" w:themeColor="text1"/>
                <w:szCs w:val="22"/>
                <w:lang w:eastAsia="en-GB"/>
              </w:rPr>
            </w:pPr>
            <w:r w:rsidRPr="00337A72">
              <w:rPr>
                <w:bCs/>
                <w:color w:val="000000" w:themeColor="text1"/>
                <w:szCs w:val="22"/>
                <w:lang w:eastAsia="en-GB"/>
              </w:rPr>
              <w:t>Be aware of the impact of your behaviour on others.</w:t>
            </w:r>
          </w:p>
          <w:p w14:paraId="749DDE0A" w14:textId="77777777" w:rsidR="00337A72" w:rsidRPr="00337A72" w:rsidRDefault="00337A72" w:rsidP="00337A72">
            <w:pPr>
              <w:numPr>
                <w:ilvl w:val="0"/>
                <w:numId w:val="22"/>
              </w:numPr>
              <w:rPr>
                <w:bCs/>
                <w:color w:val="000000" w:themeColor="text1"/>
                <w:szCs w:val="22"/>
                <w:lang w:eastAsia="en-GB"/>
              </w:rPr>
            </w:pPr>
            <w:r w:rsidRPr="00337A72">
              <w:rPr>
                <w:bCs/>
                <w:color w:val="000000" w:themeColor="text1"/>
                <w:szCs w:val="22"/>
                <w:lang w:eastAsia="en-GB"/>
              </w:rPr>
              <w:t>Ensure that others are treated with fairness, dignity, and respect.</w:t>
            </w:r>
          </w:p>
          <w:p w14:paraId="675C2B01" w14:textId="77777777" w:rsidR="00337A72" w:rsidRPr="00337A72" w:rsidRDefault="00337A72" w:rsidP="00337A72">
            <w:pPr>
              <w:numPr>
                <w:ilvl w:val="0"/>
                <w:numId w:val="22"/>
              </w:numPr>
              <w:rPr>
                <w:bCs/>
                <w:color w:val="000000" w:themeColor="text1"/>
                <w:szCs w:val="22"/>
                <w:lang w:eastAsia="en-GB"/>
              </w:rPr>
            </w:pPr>
            <w:r w:rsidRPr="00337A72">
              <w:rPr>
                <w:bCs/>
                <w:color w:val="000000" w:themeColor="text1"/>
                <w:szCs w:val="22"/>
                <w:lang w:eastAsia="en-GB"/>
              </w:rPr>
              <w:t>Maintain and develop your knowledge about what EDI is and why it is important.</w:t>
            </w:r>
          </w:p>
          <w:p w14:paraId="55EAAB7D" w14:textId="77777777" w:rsidR="00337A72" w:rsidRPr="00337A72" w:rsidRDefault="00337A72" w:rsidP="00337A72">
            <w:pPr>
              <w:numPr>
                <w:ilvl w:val="0"/>
                <w:numId w:val="22"/>
              </w:numPr>
              <w:rPr>
                <w:bCs/>
                <w:color w:val="000000" w:themeColor="text1"/>
                <w:szCs w:val="22"/>
                <w:lang w:eastAsia="en-GB"/>
              </w:rPr>
            </w:pPr>
            <w:r w:rsidRPr="00337A72">
              <w:rPr>
                <w:bCs/>
                <w:color w:val="000000" w:themeColor="text1"/>
                <w:szCs w:val="22"/>
                <w:lang w:eastAsia="en-GB"/>
              </w:rPr>
              <w:t>Be prepared to challenge bias, discrimination, and prejudice when possible, and raise with your manager, the EDI &amp; Sustainability team, or the Freedom to Speak Up Guardians.</w:t>
            </w:r>
          </w:p>
          <w:p w14:paraId="26C1CA5B" w14:textId="77777777" w:rsidR="00337A72" w:rsidRPr="00337A72" w:rsidRDefault="00337A72" w:rsidP="00337A72">
            <w:pPr>
              <w:numPr>
                <w:ilvl w:val="0"/>
                <w:numId w:val="22"/>
              </w:numPr>
              <w:rPr>
                <w:bCs/>
                <w:color w:val="000000" w:themeColor="text1"/>
                <w:szCs w:val="22"/>
                <w:lang w:eastAsia="en-GB"/>
              </w:rPr>
            </w:pPr>
            <w:r w:rsidRPr="00337A72">
              <w:rPr>
                <w:bCs/>
                <w:color w:val="000000" w:themeColor="text1"/>
                <w:szCs w:val="22"/>
                <w:lang w:eastAsia="en-GB"/>
              </w:rPr>
              <w:lastRenderedPageBreak/>
              <w:t>Encourage and support others to feel confident in speaking up if they have been subjected to or witnessed bias, discrimination, or prejudice.</w:t>
            </w:r>
          </w:p>
          <w:p w14:paraId="737CC6C5" w14:textId="77777777" w:rsidR="00337A72" w:rsidRPr="00337A72" w:rsidRDefault="00337A72" w:rsidP="00337A72">
            <w:pPr>
              <w:numPr>
                <w:ilvl w:val="0"/>
                <w:numId w:val="22"/>
              </w:numPr>
              <w:rPr>
                <w:bCs/>
                <w:color w:val="000000" w:themeColor="text1"/>
                <w:szCs w:val="22"/>
                <w:lang w:eastAsia="en-GB"/>
              </w:rPr>
            </w:pPr>
            <w:r w:rsidRPr="00337A72">
              <w:rPr>
                <w:bCs/>
                <w:color w:val="000000" w:themeColor="text1"/>
                <w:szCs w:val="22"/>
                <w:lang w:eastAsia="en-GB"/>
              </w:rPr>
              <w:t>Be prepared to speak up for others if you witness bias, discrimination, or prejudice.</w:t>
            </w:r>
          </w:p>
          <w:p w14:paraId="1EDEF6F3" w14:textId="77777777" w:rsidR="006542DB" w:rsidRPr="00337A72" w:rsidRDefault="006542DB" w:rsidP="00337A72">
            <w:pPr>
              <w:rPr>
                <w:bCs/>
                <w:color w:val="000000" w:themeColor="text1"/>
                <w:szCs w:val="22"/>
                <w:lang w:eastAsia="en-GB"/>
              </w:rPr>
            </w:pPr>
          </w:p>
        </w:tc>
      </w:tr>
      <w:tr w:rsidR="00966F66" w14:paraId="3161C07B" w14:textId="77777777" w:rsidTr="1E5E83AD">
        <w:tc>
          <w:tcPr>
            <w:tcW w:w="3256" w:type="dxa"/>
            <w:vAlign w:val="center"/>
          </w:tcPr>
          <w:p w14:paraId="5FD2413E" w14:textId="7A534F40" w:rsidR="00966F66" w:rsidRDefault="00966F66" w:rsidP="00547A12">
            <w:r>
              <w:lastRenderedPageBreak/>
              <w:t>Training and supervision:</w:t>
            </w:r>
          </w:p>
        </w:tc>
        <w:tc>
          <w:tcPr>
            <w:tcW w:w="6706" w:type="dxa"/>
            <w:vAlign w:val="center"/>
          </w:tcPr>
          <w:p w14:paraId="170DDD7F" w14:textId="77777777" w:rsidR="00966F66" w:rsidRDefault="00BA58A0" w:rsidP="00547A12">
            <w:pPr>
              <w:rPr>
                <w:rFonts w:eastAsia="Calibri" w:cs="Calibri"/>
                <w:sz w:val="21"/>
                <w:szCs w:val="21"/>
              </w:rPr>
            </w:pPr>
            <w:r>
              <w:rPr>
                <w:rFonts w:eastAsia="Calibri" w:cs="Calibri"/>
                <w:sz w:val="21"/>
                <w:szCs w:val="21"/>
              </w:rPr>
              <w:t>As required</w:t>
            </w:r>
          </w:p>
          <w:p w14:paraId="201DC6D6" w14:textId="059AA1F9" w:rsidR="00E2005A" w:rsidRDefault="00E2005A" w:rsidP="00547A12">
            <w:pPr>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547A12">
            <w:r>
              <w:t>Additional information:</w:t>
            </w:r>
          </w:p>
        </w:tc>
        <w:tc>
          <w:tcPr>
            <w:tcW w:w="6706" w:type="dxa"/>
            <w:vAlign w:val="center"/>
          </w:tcPr>
          <w:p w14:paraId="42292030" w14:textId="77777777" w:rsidR="00966F66" w:rsidRDefault="00F92D11" w:rsidP="00547A12">
            <w:pPr>
              <w:rPr>
                <w:color w:val="000000"/>
              </w:rPr>
            </w:pPr>
            <w:r>
              <w:rPr>
                <w:color w:val="000000"/>
              </w:rPr>
              <w:t>Some</w:t>
            </w:r>
            <w:r w:rsidR="00BA58A0">
              <w:rPr>
                <w:color w:val="000000"/>
              </w:rPr>
              <w:t xml:space="preserve"> travel </w:t>
            </w:r>
            <w:r>
              <w:rPr>
                <w:color w:val="000000"/>
              </w:rPr>
              <w:t>to sites</w:t>
            </w:r>
            <w:r w:rsidR="00BA58A0">
              <w:rPr>
                <w:color w:val="000000"/>
              </w:rPr>
              <w:t xml:space="preserve"> </w:t>
            </w:r>
          </w:p>
          <w:p w14:paraId="4A51D27D" w14:textId="34DA104D" w:rsidR="00E2005A" w:rsidRPr="00966F66" w:rsidRDefault="00E2005A" w:rsidP="00547A12">
            <w:pPr>
              <w:rPr>
                <w:color w:val="000000"/>
              </w:rPr>
            </w:pPr>
          </w:p>
        </w:tc>
      </w:tr>
    </w:tbl>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77777777"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0F145601" w14:textId="39526BD8" w:rsidR="00FA0056" w:rsidRDefault="00FA0056" w:rsidP="00FA0056">
            <w:pPr>
              <w:pStyle w:val="BulletListDense"/>
              <w:numPr>
                <w:ilvl w:val="0"/>
                <w:numId w:val="9"/>
              </w:numPr>
              <w:rPr>
                <w:lang w:eastAsia="en-GB"/>
              </w:rPr>
            </w:pPr>
            <w:r>
              <w:rPr>
                <w:lang w:eastAsia="en-GB"/>
              </w:rPr>
              <w:t>Registered nurse</w:t>
            </w:r>
            <w:r w:rsidR="008B737F">
              <w:rPr>
                <w:lang w:eastAsia="en-GB"/>
              </w:rPr>
              <w:t xml:space="preserve"> with evidence of NMC registration</w:t>
            </w:r>
          </w:p>
          <w:p w14:paraId="6E07C7B9" w14:textId="77777777" w:rsidR="00966F66" w:rsidRDefault="006A4366" w:rsidP="006A4366">
            <w:pPr>
              <w:pStyle w:val="BulletListDense"/>
              <w:numPr>
                <w:ilvl w:val="0"/>
                <w:numId w:val="9"/>
              </w:numPr>
              <w:rPr>
                <w:lang w:eastAsia="en-GB"/>
              </w:rPr>
            </w:pPr>
            <w:r>
              <w:rPr>
                <w:lang w:eastAsia="en-GB"/>
              </w:rPr>
              <w:t>Educated to degree level</w:t>
            </w:r>
            <w:r w:rsidR="00FA0056" w:rsidRPr="00F26FB4">
              <w:rPr>
                <w:lang w:eastAsia="en-GB"/>
              </w:rPr>
              <w:t xml:space="preserve"> </w:t>
            </w:r>
            <w:r w:rsidR="000226FE">
              <w:rPr>
                <w:lang w:eastAsia="en-GB"/>
              </w:rPr>
              <w:t>or equivalent</w:t>
            </w:r>
          </w:p>
          <w:p w14:paraId="4315561D" w14:textId="0DD49E19" w:rsidR="00D34653" w:rsidRPr="00E11E54" w:rsidRDefault="00D34653" w:rsidP="006A4366">
            <w:pPr>
              <w:pStyle w:val="BulletListDense"/>
              <w:numPr>
                <w:ilvl w:val="0"/>
                <w:numId w:val="9"/>
              </w:numPr>
              <w:rPr>
                <w:lang w:eastAsia="en-GB"/>
              </w:rPr>
            </w:pPr>
            <w:r>
              <w:rPr>
                <w:lang w:eastAsia="en-GB"/>
              </w:rPr>
              <w:t xml:space="preserve">Post-graduate degree or equivalent qualification and experience in </w:t>
            </w:r>
            <w:r w:rsidR="009A3A1A">
              <w:rPr>
                <w:lang w:eastAsia="en-GB"/>
              </w:rPr>
              <w:t xml:space="preserve">infection control </w:t>
            </w:r>
          </w:p>
        </w:tc>
        <w:tc>
          <w:tcPr>
            <w:tcW w:w="3728" w:type="dxa"/>
          </w:tcPr>
          <w:p w14:paraId="165BC61C" w14:textId="1A6CB0D4" w:rsidR="009A3A1A" w:rsidRDefault="009A3A1A" w:rsidP="009A3A1A">
            <w:pPr>
              <w:pStyle w:val="BulletListDense"/>
              <w:numPr>
                <w:ilvl w:val="0"/>
                <w:numId w:val="9"/>
              </w:numPr>
              <w:rPr>
                <w:lang w:eastAsia="en-GB"/>
              </w:rPr>
            </w:pPr>
            <w:r>
              <w:rPr>
                <w:lang w:eastAsia="en-GB"/>
              </w:rPr>
              <w:t xml:space="preserve">Membership of special interest or professional groups </w:t>
            </w:r>
          </w:p>
          <w:p w14:paraId="249563A3" w14:textId="57E195E1" w:rsidR="00966F66" w:rsidRPr="00AC5FDD" w:rsidRDefault="00966F66" w:rsidP="00E96376">
            <w:pPr>
              <w:pStyle w:val="BulletListDense"/>
              <w:numPr>
                <w:ilvl w:val="0"/>
                <w:numId w:val="0"/>
              </w:numPr>
              <w:ind w:left="72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A51B16C" w14:textId="77777777" w:rsidR="00583525" w:rsidRDefault="00583525" w:rsidP="00583525">
            <w:pPr>
              <w:pStyle w:val="BulletListDense"/>
              <w:rPr>
                <w:lang w:eastAsia="en-GB"/>
              </w:rPr>
            </w:pPr>
            <w:r>
              <w:rPr>
                <w:lang w:eastAsia="en-GB"/>
              </w:rPr>
              <w:t>Substantial experience in an infection prevention and control role within a healthcare setting</w:t>
            </w:r>
          </w:p>
          <w:p w14:paraId="0B1073E6" w14:textId="77777777" w:rsidR="00583525" w:rsidRDefault="00583525" w:rsidP="00583525">
            <w:pPr>
              <w:pStyle w:val="BulletListDense"/>
              <w:rPr>
                <w:lang w:eastAsia="en-GB"/>
              </w:rPr>
            </w:pPr>
            <w:r>
              <w:rPr>
                <w:lang w:eastAsia="en-GB"/>
              </w:rPr>
              <w:t>Proven leadership experience with a track record of implementing change and improving IPC outcomes</w:t>
            </w:r>
          </w:p>
          <w:p w14:paraId="113AF51B" w14:textId="77777777" w:rsidR="00583525" w:rsidRDefault="00583525" w:rsidP="00583525">
            <w:pPr>
              <w:pStyle w:val="BulletListDense"/>
              <w:rPr>
                <w:lang w:eastAsia="en-GB"/>
              </w:rPr>
            </w:pPr>
            <w:r>
              <w:rPr>
                <w:lang w:eastAsia="en-GB"/>
              </w:rPr>
              <w:t>Experience in conducting infection surveillance, audits, and managing outbreaks</w:t>
            </w:r>
          </w:p>
          <w:p w14:paraId="07A39720" w14:textId="77777777" w:rsidR="00583525" w:rsidRPr="00583525" w:rsidRDefault="00583525" w:rsidP="00583525">
            <w:pPr>
              <w:pStyle w:val="BulletListDense"/>
              <w:rPr>
                <w:lang w:eastAsia="en-GB"/>
              </w:rPr>
            </w:pPr>
            <w:r>
              <w:rPr>
                <w:kern w:val="0"/>
                <w:lang w:eastAsia="en-GB"/>
              </w:rPr>
              <w:t>Demonstrated ability to educate and influence staff at all levels on infection prevention</w:t>
            </w:r>
          </w:p>
          <w:p w14:paraId="1F7F1487" w14:textId="1BFB02B5" w:rsidR="00D05DCA" w:rsidRDefault="00D05DCA" w:rsidP="00583525">
            <w:pPr>
              <w:pStyle w:val="BulletListDense"/>
              <w:rPr>
                <w:lang w:eastAsia="en-GB"/>
              </w:rPr>
            </w:pPr>
            <w:r>
              <w:rPr>
                <w:lang w:eastAsia="en-GB"/>
              </w:rPr>
              <w:t xml:space="preserve">Previous experience/ability to learn </w:t>
            </w:r>
            <w:r w:rsidR="007C1BFC">
              <w:rPr>
                <w:lang w:eastAsia="en-GB"/>
              </w:rPr>
              <w:t>service user</w:t>
            </w:r>
            <w:r>
              <w:rPr>
                <w:lang w:eastAsia="en-GB"/>
              </w:rPr>
              <w:t xml:space="preserve"> management systems </w:t>
            </w:r>
            <w:r w:rsidR="007C1BFC">
              <w:rPr>
                <w:lang w:eastAsia="en-GB"/>
              </w:rPr>
              <w:t xml:space="preserve">(electronic clinical records) </w:t>
            </w:r>
            <w:r>
              <w:rPr>
                <w:lang w:eastAsia="en-GB"/>
              </w:rPr>
              <w:t xml:space="preserve">quickly  </w:t>
            </w:r>
          </w:p>
          <w:p w14:paraId="3B562B01" w14:textId="751163E0" w:rsidR="00966F66" w:rsidRPr="00233201" w:rsidRDefault="00F84BD1" w:rsidP="007D4458">
            <w:pPr>
              <w:pStyle w:val="BulletListDense"/>
              <w:numPr>
                <w:ilvl w:val="0"/>
                <w:numId w:val="0"/>
              </w:numPr>
              <w:rPr>
                <w:rFonts w:eastAsia="Times New Roman" w:cs="Calibri"/>
                <w:color w:val="333333"/>
                <w:szCs w:val="22"/>
                <w:lang w:eastAsia="en-GB"/>
              </w:rPr>
            </w:pPr>
            <w:r>
              <w:rPr>
                <w:lang w:eastAsia="en-GB"/>
              </w:rPr>
              <w:br/>
            </w:r>
          </w:p>
        </w:tc>
        <w:tc>
          <w:tcPr>
            <w:tcW w:w="3728" w:type="dxa"/>
          </w:tcPr>
          <w:p w14:paraId="5B456901" w14:textId="60AD8334" w:rsidR="00776726" w:rsidRDefault="00776726" w:rsidP="007D4458">
            <w:pPr>
              <w:pStyle w:val="BulletListDense"/>
              <w:numPr>
                <w:ilvl w:val="0"/>
                <w:numId w:val="0"/>
              </w:numPr>
              <w:ind w:left="360"/>
              <w:rPr>
                <w:lang w:eastAsia="en-GB"/>
              </w:rPr>
            </w:pPr>
          </w:p>
          <w:p w14:paraId="45BB4884" w14:textId="14565026" w:rsidR="007D4458" w:rsidRDefault="007D4458" w:rsidP="007D4458">
            <w:pPr>
              <w:pStyle w:val="BulletListDense"/>
              <w:numPr>
                <w:ilvl w:val="0"/>
                <w:numId w:val="9"/>
              </w:numPr>
              <w:rPr>
                <w:lang w:eastAsia="en-GB"/>
              </w:rPr>
            </w:pPr>
            <w:r>
              <w:rPr>
                <w:lang w:eastAsia="en-GB"/>
              </w:rPr>
              <w:t xml:space="preserve">Quality report writing </w:t>
            </w:r>
          </w:p>
          <w:p w14:paraId="0E2E6A99" w14:textId="79BDAB2B" w:rsidR="007D4458" w:rsidRDefault="007D4458" w:rsidP="007D4458">
            <w:pPr>
              <w:pStyle w:val="BulletListDense"/>
              <w:numPr>
                <w:ilvl w:val="0"/>
                <w:numId w:val="9"/>
              </w:numPr>
              <w:rPr>
                <w:lang w:eastAsia="en-GB"/>
              </w:rPr>
            </w:pPr>
            <w:r>
              <w:rPr>
                <w:lang w:eastAsia="en-GB"/>
              </w:rPr>
              <w:t xml:space="preserve">Leadership training </w:t>
            </w:r>
          </w:p>
          <w:p w14:paraId="73BCA857" w14:textId="0359443F" w:rsidR="00966F66" w:rsidRPr="007603AB" w:rsidRDefault="00966F66" w:rsidP="007D4458">
            <w:pPr>
              <w:pStyle w:val="BulletListDense"/>
              <w:numPr>
                <w:ilvl w:val="0"/>
                <w:numId w:val="0"/>
              </w:numPr>
              <w:ind w:left="360" w:hanging="360"/>
              <w:rPr>
                <w:lang w:eastAsia="en-GB"/>
              </w:rPr>
            </w:pPr>
          </w:p>
        </w:tc>
      </w:tr>
      <w:tr w:rsidR="00966F66" w14:paraId="6F5BC3B6" w14:textId="77777777" w:rsidTr="00E96376">
        <w:trPr>
          <w:trHeight w:val="69"/>
        </w:trPr>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8822BD" w14:textId="77777777" w:rsidR="00A07C6E" w:rsidRDefault="00A07C6E" w:rsidP="00A07C6E">
            <w:pPr>
              <w:pStyle w:val="BulletListDense"/>
              <w:numPr>
                <w:ilvl w:val="0"/>
                <w:numId w:val="20"/>
              </w:numPr>
              <w:rPr>
                <w:lang w:val="en-US" w:eastAsia="en-GB"/>
              </w:rPr>
            </w:pPr>
            <w:r>
              <w:rPr>
                <w:lang w:val="en-US" w:eastAsia="en-GB"/>
              </w:rPr>
              <w:t>In-depth knowledge of infection prevention and control standards, guidelines, and regulatory requirements</w:t>
            </w:r>
          </w:p>
          <w:p w14:paraId="14A966F5" w14:textId="77777777" w:rsidR="00A07C6E" w:rsidRDefault="00A07C6E" w:rsidP="00A07C6E">
            <w:pPr>
              <w:pStyle w:val="BulletListDense"/>
              <w:numPr>
                <w:ilvl w:val="0"/>
                <w:numId w:val="20"/>
              </w:numPr>
              <w:rPr>
                <w:lang w:val="en-US" w:eastAsia="en-GB"/>
              </w:rPr>
            </w:pPr>
            <w:r>
              <w:rPr>
                <w:lang w:val="en-US" w:eastAsia="en-GB"/>
              </w:rPr>
              <w:t>Excellent leadership and interpersonal skills, with the ability to influence and motivate others</w:t>
            </w:r>
          </w:p>
          <w:p w14:paraId="41DF849E" w14:textId="77777777" w:rsidR="00A07C6E" w:rsidRDefault="00A07C6E" w:rsidP="00A07C6E">
            <w:pPr>
              <w:pStyle w:val="BulletListDense"/>
              <w:numPr>
                <w:ilvl w:val="0"/>
                <w:numId w:val="20"/>
              </w:numPr>
              <w:rPr>
                <w:lang w:val="en-US" w:eastAsia="en-GB"/>
              </w:rPr>
            </w:pPr>
            <w:r>
              <w:rPr>
                <w:lang w:val="en-US" w:eastAsia="en-GB"/>
              </w:rPr>
              <w:lastRenderedPageBreak/>
              <w:t>Strong analytical and data interpretation skills for infection surveillance and risk management</w:t>
            </w:r>
          </w:p>
          <w:p w14:paraId="36EF8368" w14:textId="77777777" w:rsidR="00A07C6E" w:rsidRDefault="00A07C6E" w:rsidP="00A07C6E">
            <w:pPr>
              <w:pStyle w:val="BulletListDense"/>
              <w:numPr>
                <w:ilvl w:val="0"/>
                <w:numId w:val="20"/>
              </w:numPr>
              <w:rPr>
                <w:lang w:val="en-US" w:eastAsia="en-GB"/>
              </w:rPr>
            </w:pPr>
            <w:r>
              <w:rPr>
                <w:lang w:val="en-US" w:eastAsia="en-GB"/>
              </w:rPr>
              <w:t>Ability to manage complex situations and work under pressure</w:t>
            </w:r>
          </w:p>
          <w:p w14:paraId="1D90F6BD" w14:textId="77777777" w:rsidR="00A07C6E" w:rsidRDefault="00A07C6E" w:rsidP="00A07C6E">
            <w:pPr>
              <w:pStyle w:val="BulletListDense"/>
              <w:numPr>
                <w:ilvl w:val="0"/>
                <w:numId w:val="20"/>
              </w:numPr>
              <w:rPr>
                <w:rFonts w:eastAsia="Times New Roman" w:cs="Calibri"/>
                <w:color w:val="333333"/>
                <w:szCs w:val="22"/>
                <w:lang w:val="en-US" w:eastAsia="en-GB"/>
              </w:rPr>
            </w:pPr>
            <w:r>
              <w:rPr>
                <w:lang w:val="en-US" w:eastAsia="en-GB"/>
              </w:rPr>
              <w:t>Excellent communication skills, both written and verbal, to present information clearly and effectively</w:t>
            </w:r>
          </w:p>
          <w:p w14:paraId="68F0FD2C" w14:textId="2D2BA861" w:rsidR="006A4366" w:rsidRDefault="00A07C6E" w:rsidP="007E2BB2">
            <w:pPr>
              <w:pStyle w:val="BulletListDense"/>
              <w:rPr>
                <w:lang w:eastAsia="en-GB"/>
              </w:rPr>
            </w:pPr>
            <w:r>
              <w:rPr>
                <w:lang w:eastAsia="en-GB"/>
              </w:rPr>
              <w:t>U</w:t>
            </w:r>
            <w:r w:rsidR="006A4366">
              <w:rPr>
                <w:lang w:eastAsia="en-GB"/>
              </w:rPr>
              <w:t xml:space="preserve">nderstanding of </w:t>
            </w:r>
            <w:r w:rsidR="00E576F4">
              <w:rPr>
                <w:lang w:eastAsia="en-GB"/>
              </w:rPr>
              <w:t>regulatory and legislative standards</w:t>
            </w:r>
            <w:r w:rsidR="00AB093A">
              <w:rPr>
                <w:lang w:eastAsia="en-GB"/>
              </w:rPr>
              <w:t xml:space="preserve"> which impact the IPC agenda including Health &amp; Social Care Act 2008</w:t>
            </w:r>
            <w:r w:rsidR="00CA13BF">
              <w:rPr>
                <w:lang w:eastAsia="en-GB"/>
              </w:rPr>
              <w:t xml:space="preserve">: code of practice, the </w:t>
            </w:r>
            <w:r w:rsidR="00A1476E">
              <w:rPr>
                <w:lang w:eastAsia="en-GB"/>
              </w:rPr>
              <w:t>National Infection Prevention and Control Manual</w:t>
            </w:r>
            <w:r w:rsidR="009C5D0B">
              <w:rPr>
                <w:lang w:eastAsia="en-GB"/>
              </w:rPr>
              <w:t>, CQC standards,</w:t>
            </w:r>
            <w:r w:rsidR="00A1476E">
              <w:rPr>
                <w:lang w:eastAsia="en-GB"/>
              </w:rPr>
              <w:t xml:space="preserve"> and e</w:t>
            </w:r>
            <w:r w:rsidR="006A4366">
              <w:rPr>
                <w:lang w:eastAsia="en-GB"/>
              </w:rPr>
              <w:t>vidence-based practice</w:t>
            </w:r>
            <w:r w:rsidR="00EE02AA">
              <w:rPr>
                <w:lang w:eastAsia="en-GB"/>
              </w:rPr>
              <w:t xml:space="preserve"> </w:t>
            </w:r>
            <w:r w:rsidR="000C0CF5">
              <w:rPr>
                <w:lang w:eastAsia="en-GB"/>
              </w:rPr>
              <w:t>e.g.,</w:t>
            </w:r>
            <w:r w:rsidR="00EE02AA">
              <w:rPr>
                <w:lang w:eastAsia="en-GB"/>
              </w:rPr>
              <w:t xml:space="preserve"> NICE guidelines</w:t>
            </w:r>
            <w:r w:rsidR="00B56264">
              <w:rPr>
                <w:lang w:eastAsia="en-GB"/>
              </w:rPr>
              <w:t xml:space="preserve"> </w:t>
            </w:r>
          </w:p>
          <w:p w14:paraId="2F77305B" w14:textId="49B07CF6" w:rsidR="00D858C5" w:rsidRPr="00264ABC" w:rsidRDefault="00D858C5" w:rsidP="00590078">
            <w:pPr>
              <w:pStyle w:val="BulletListDense"/>
              <w:numPr>
                <w:ilvl w:val="0"/>
                <w:numId w:val="0"/>
              </w:numPr>
              <w:ind w:left="360"/>
              <w:rPr>
                <w:rFonts w:eastAsia="Times New Roman" w:cs="Calibri"/>
                <w:color w:val="333333"/>
                <w:szCs w:val="22"/>
                <w:lang w:eastAsia="en-GB"/>
              </w:rPr>
            </w:pPr>
          </w:p>
        </w:tc>
        <w:tc>
          <w:tcPr>
            <w:tcW w:w="3728" w:type="dxa"/>
          </w:tcPr>
          <w:p w14:paraId="236BB4AC" w14:textId="584A73A0" w:rsidR="00776726" w:rsidRDefault="00776726" w:rsidP="00776726">
            <w:pPr>
              <w:pStyle w:val="BulletListDense"/>
              <w:rPr>
                <w:lang w:eastAsia="en-GB"/>
              </w:rPr>
            </w:pPr>
            <w:r>
              <w:rPr>
                <w:lang w:eastAsia="en-GB"/>
              </w:rPr>
              <w:lastRenderedPageBreak/>
              <w:t>Experience in designing</w:t>
            </w:r>
            <w:r w:rsidR="00B606BF">
              <w:rPr>
                <w:lang w:eastAsia="en-GB"/>
              </w:rPr>
              <w:t>, presenting</w:t>
            </w:r>
            <w:r>
              <w:rPr>
                <w:lang w:eastAsia="en-GB"/>
              </w:rPr>
              <w:t xml:space="preserve"> and delivering training  </w:t>
            </w:r>
          </w:p>
          <w:p w14:paraId="38BAA6F0" w14:textId="7D52E52E" w:rsidR="00776726" w:rsidRDefault="00776726" w:rsidP="00776726">
            <w:pPr>
              <w:pStyle w:val="BulletListDense"/>
              <w:rPr>
                <w:lang w:eastAsia="en-GB"/>
              </w:rPr>
            </w:pPr>
            <w:r>
              <w:rPr>
                <w:lang w:eastAsia="en-GB"/>
              </w:rPr>
              <w:t xml:space="preserve">Previous use of </w:t>
            </w:r>
            <w:r w:rsidR="003168DA">
              <w:rPr>
                <w:lang w:eastAsia="en-GB"/>
              </w:rPr>
              <w:t>Power-BI</w:t>
            </w:r>
            <w:r>
              <w:rPr>
                <w:lang w:eastAsia="en-GB"/>
              </w:rPr>
              <w:t>, MS forms, Radar</w:t>
            </w:r>
            <w:r w:rsidR="00A1164C">
              <w:rPr>
                <w:lang w:eastAsia="en-GB"/>
              </w:rPr>
              <w:t xml:space="preserve"> Healthcare </w:t>
            </w:r>
            <w:r w:rsidR="00E32E56">
              <w:rPr>
                <w:lang w:eastAsia="en-GB"/>
              </w:rPr>
              <w:t>(</w:t>
            </w:r>
            <w:r w:rsidR="00A1164C">
              <w:rPr>
                <w:lang w:eastAsia="en-GB"/>
              </w:rPr>
              <w:t>or other risk management system</w:t>
            </w:r>
            <w:r w:rsidR="00E32E56">
              <w:rPr>
                <w:lang w:eastAsia="en-GB"/>
              </w:rPr>
              <w:t>)</w:t>
            </w:r>
          </w:p>
          <w:p w14:paraId="43036BF5" w14:textId="12BD432F" w:rsidR="00337A72" w:rsidRDefault="00337A72" w:rsidP="00776726">
            <w:pPr>
              <w:pStyle w:val="BulletListDense"/>
              <w:rPr>
                <w:lang w:eastAsia="en-GB"/>
              </w:rPr>
            </w:pPr>
            <w:r>
              <w:rPr>
                <w:lang w:eastAsia="en-GB"/>
              </w:rPr>
              <w:t>Speaks another language</w:t>
            </w:r>
          </w:p>
          <w:p w14:paraId="486729C8" w14:textId="77777777" w:rsidR="00776726" w:rsidRDefault="00776726" w:rsidP="00776726">
            <w:pPr>
              <w:pStyle w:val="BulletListDense"/>
              <w:numPr>
                <w:ilvl w:val="0"/>
                <w:numId w:val="0"/>
              </w:numPr>
              <w:ind w:left="853"/>
              <w:rPr>
                <w:lang w:eastAsia="en-GB"/>
              </w:rPr>
            </w:pPr>
          </w:p>
          <w:p w14:paraId="0A86D72C" w14:textId="38A07611" w:rsidR="007603AB" w:rsidRPr="007603AB" w:rsidRDefault="007603AB" w:rsidP="00E96376">
            <w:pPr>
              <w:pStyle w:val="BulletListDense"/>
              <w:numPr>
                <w:ilvl w:val="0"/>
                <w:numId w:val="0"/>
              </w:numPr>
              <w:ind w:left="720"/>
              <w:rPr>
                <w:lang w:eastAsia="en-GB"/>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827" w:type="dxa"/>
          </w:tcPr>
          <w:p w14:paraId="6B9A0050" w14:textId="42400B02" w:rsidR="006A4366" w:rsidRDefault="006A4366" w:rsidP="00D05DCA">
            <w:pPr>
              <w:pStyle w:val="BulletListDense"/>
              <w:numPr>
                <w:ilvl w:val="0"/>
                <w:numId w:val="9"/>
              </w:numPr>
              <w:rPr>
                <w:lang w:eastAsia="en-GB"/>
              </w:rPr>
            </w:pPr>
            <w:r w:rsidRPr="00F26FB4">
              <w:rPr>
                <w:lang w:eastAsia="en-GB"/>
              </w:rPr>
              <w:t>Infection Prevention and Control qualification</w:t>
            </w:r>
            <w:r>
              <w:rPr>
                <w:lang w:eastAsia="en-GB"/>
              </w:rPr>
              <w:t>,</w:t>
            </w:r>
            <w:r w:rsidRPr="00F26FB4">
              <w:rPr>
                <w:lang w:eastAsia="en-GB"/>
              </w:rPr>
              <w:t xml:space="preserve"> course</w:t>
            </w:r>
            <w:r>
              <w:rPr>
                <w:lang w:eastAsia="en-GB"/>
              </w:rPr>
              <w:t xml:space="preserve"> or working towards </w:t>
            </w:r>
            <w:r w:rsidR="00591BF2">
              <w:rPr>
                <w:lang w:eastAsia="en-GB"/>
              </w:rPr>
              <w:t>this (equivalent experience considered)</w:t>
            </w:r>
          </w:p>
          <w:p w14:paraId="416E6B12" w14:textId="77777777" w:rsidR="00966F66" w:rsidRPr="00590078" w:rsidRDefault="00D05DCA" w:rsidP="007E0C04">
            <w:pPr>
              <w:pStyle w:val="BulletListDense"/>
              <w:numPr>
                <w:ilvl w:val="0"/>
                <w:numId w:val="9"/>
              </w:numPr>
              <w:rPr>
                <w:rFonts w:cs="Calibri"/>
                <w:szCs w:val="22"/>
              </w:rPr>
            </w:pPr>
            <w:r w:rsidRPr="00BE026D">
              <w:rPr>
                <w:lang w:eastAsia="en-GB"/>
              </w:rPr>
              <w:t>Commitment to Continued Professional Development</w:t>
            </w:r>
            <w:r>
              <w:rPr>
                <w:lang w:eastAsia="en-GB"/>
              </w:rPr>
              <w:t xml:space="preserve"> (CPD) </w:t>
            </w:r>
            <w:r w:rsidR="007E0C04">
              <w:rPr>
                <w:lang w:eastAsia="en-GB"/>
              </w:rPr>
              <w:t xml:space="preserve">and learning </w:t>
            </w:r>
            <w:r>
              <w:rPr>
                <w:lang w:eastAsia="en-GB"/>
              </w:rPr>
              <w:t xml:space="preserve">with evidence </w:t>
            </w:r>
          </w:p>
          <w:p w14:paraId="4102B15E" w14:textId="72F30EBB" w:rsidR="00590078" w:rsidRPr="00AC5FDD" w:rsidRDefault="00590078" w:rsidP="00590078">
            <w:pPr>
              <w:pStyle w:val="BulletListDense"/>
              <w:numPr>
                <w:ilvl w:val="0"/>
                <w:numId w:val="0"/>
              </w:numPr>
              <w:rPr>
                <w:rFonts w:cs="Calibri"/>
                <w:szCs w:val="22"/>
              </w:rPr>
            </w:pPr>
          </w:p>
        </w:tc>
        <w:tc>
          <w:tcPr>
            <w:tcW w:w="3728" w:type="dxa"/>
          </w:tcPr>
          <w:p w14:paraId="1F5B2756" w14:textId="348B5958" w:rsidR="00966F66" w:rsidRPr="00AC5FDD" w:rsidRDefault="00966F66" w:rsidP="00776726">
            <w:pPr>
              <w:pStyle w:val="BulletListDense"/>
              <w:numPr>
                <w:ilvl w:val="0"/>
                <w:numId w:val="0"/>
              </w:numPr>
              <w:ind w:left="853"/>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514CE726" w14:textId="64199F25" w:rsidR="006A4366" w:rsidRDefault="006A4366" w:rsidP="006A4366">
            <w:pPr>
              <w:pStyle w:val="BulletListDense"/>
              <w:rPr>
                <w:lang w:eastAsia="en-GB"/>
              </w:rPr>
            </w:pPr>
            <w:r>
              <w:rPr>
                <w:lang w:eastAsia="en-GB"/>
              </w:rPr>
              <w:t>Able to l</w:t>
            </w:r>
            <w:r w:rsidRPr="00BE026D">
              <w:rPr>
                <w:lang w:eastAsia="en-GB"/>
              </w:rPr>
              <w:t>ead by example</w:t>
            </w:r>
            <w:r>
              <w:rPr>
                <w:lang w:eastAsia="en-GB"/>
              </w:rPr>
              <w:t xml:space="preserve"> and clinically reason change</w:t>
            </w:r>
            <w:r w:rsidR="008A331E">
              <w:rPr>
                <w:lang w:eastAsia="en-GB"/>
              </w:rPr>
              <w:t>s in practice</w:t>
            </w:r>
          </w:p>
          <w:p w14:paraId="7EA6911C" w14:textId="77777777" w:rsidR="006A4366" w:rsidRPr="00BE026D" w:rsidRDefault="006A4366" w:rsidP="006A4366">
            <w:pPr>
              <w:pStyle w:val="BulletListDense"/>
              <w:rPr>
                <w:lang w:eastAsia="en-GB"/>
              </w:rPr>
            </w:pPr>
            <w:r w:rsidRPr="00BE026D">
              <w:rPr>
                <w:lang w:eastAsia="en-GB"/>
              </w:rPr>
              <w:t>Ability to work autonomously and as part of a multi-disciplinary team</w:t>
            </w:r>
          </w:p>
          <w:p w14:paraId="6A5708C0" w14:textId="77777777" w:rsidR="00590078" w:rsidRDefault="00D05DCA" w:rsidP="00590078">
            <w:pPr>
              <w:pStyle w:val="BulletListDense"/>
              <w:rPr>
                <w:lang w:eastAsia="en-GB"/>
              </w:rPr>
            </w:pPr>
            <w:r w:rsidRPr="00BE026D">
              <w:rPr>
                <w:lang w:eastAsia="en-GB"/>
              </w:rPr>
              <w:t>Excellent communication skills written and verbal</w:t>
            </w:r>
            <w:r>
              <w:rPr>
                <w:lang w:eastAsia="en-GB"/>
              </w:rPr>
              <w:t xml:space="preserve"> with ability to communicate with various stakeholders</w:t>
            </w:r>
            <w:r w:rsidR="00590078">
              <w:rPr>
                <w:lang w:eastAsia="en-GB"/>
              </w:rPr>
              <w:t xml:space="preserve"> </w:t>
            </w:r>
          </w:p>
          <w:p w14:paraId="410EAFC0" w14:textId="56573347" w:rsidR="00590078" w:rsidRDefault="00590078" w:rsidP="00590078">
            <w:pPr>
              <w:pStyle w:val="BulletListDense"/>
              <w:rPr>
                <w:lang w:eastAsia="en-GB"/>
              </w:rPr>
            </w:pPr>
            <w:r>
              <w:rPr>
                <w:lang w:eastAsia="en-GB"/>
              </w:rPr>
              <w:t>Excellent c</w:t>
            </w:r>
            <w:r w:rsidRPr="00BE026D">
              <w:rPr>
                <w:lang w:eastAsia="en-GB"/>
              </w:rPr>
              <w:t xml:space="preserve">omputer </w:t>
            </w:r>
            <w:r>
              <w:rPr>
                <w:lang w:eastAsia="en-GB"/>
              </w:rPr>
              <w:t>skills including Microsoft Office suite</w:t>
            </w:r>
          </w:p>
          <w:p w14:paraId="586A7516" w14:textId="3B570621" w:rsidR="00D05DCA" w:rsidRDefault="00590078" w:rsidP="00590078">
            <w:pPr>
              <w:pStyle w:val="BulletListDense"/>
              <w:rPr>
                <w:lang w:eastAsia="en-GB"/>
              </w:rPr>
            </w:pPr>
            <w:r>
              <w:rPr>
                <w:lang w:eastAsia="en-GB"/>
              </w:rPr>
              <w:t xml:space="preserve">Excellent organisational skills including ability to prioritise workload, adapt to a fast-paced environment and effective time management </w:t>
            </w:r>
          </w:p>
          <w:p w14:paraId="63C0E01E" w14:textId="737C0C9B" w:rsidR="00590078" w:rsidRPr="00590078" w:rsidRDefault="00590078" w:rsidP="00590078">
            <w:pPr>
              <w:pStyle w:val="BulletListDense"/>
              <w:rPr>
                <w:lang w:eastAsia="en-GB"/>
              </w:rPr>
            </w:pPr>
            <w:r>
              <w:rPr>
                <w:lang w:eastAsia="en-GB"/>
              </w:rPr>
              <w:t>A passion for IPC, patient safety and quality improvement</w:t>
            </w:r>
          </w:p>
          <w:p w14:paraId="21FB89F2" w14:textId="1124B90A" w:rsidR="00966F66" w:rsidRPr="00233201" w:rsidRDefault="00D05DCA" w:rsidP="00264ABC">
            <w:pPr>
              <w:pStyle w:val="BulletListDense"/>
              <w:rPr>
                <w:rFonts w:cs="Calibri"/>
              </w:rPr>
            </w:pPr>
            <w:r>
              <w:t>Willingness to travel, which may include overnight stays on occasion, as and when required</w:t>
            </w:r>
          </w:p>
        </w:tc>
        <w:tc>
          <w:tcPr>
            <w:tcW w:w="3728" w:type="dxa"/>
          </w:tcPr>
          <w:p w14:paraId="49E7C29C" w14:textId="77777777" w:rsidR="00966F66" w:rsidRPr="007603AB" w:rsidRDefault="00966F66" w:rsidP="007603AB">
            <w:pPr>
              <w:spacing w:beforeLines="100" w:before="240" w:afterLines="100" w:after="240"/>
              <w:ind w:left="360"/>
              <w:rPr>
                <w:rFonts w:cs="Calibri"/>
                <w:szCs w:val="22"/>
              </w:rPr>
            </w:pPr>
          </w:p>
        </w:tc>
      </w:tr>
    </w:tbl>
    <w:p w14:paraId="0ED9B29F" w14:textId="588B5674" w:rsidR="00966F66" w:rsidRDefault="00966F66" w:rsidP="00966F66"/>
    <w:bookmarkEnd w:id="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260BC" w14:textId="77777777" w:rsidR="00D45CA1" w:rsidRDefault="00D45CA1" w:rsidP="00A96CB2">
      <w:r>
        <w:separator/>
      </w:r>
    </w:p>
  </w:endnote>
  <w:endnote w:type="continuationSeparator" w:id="0">
    <w:p w14:paraId="36A31CE4" w14:textId="77777777" w:rsidR="00D45CA1" w:rsidRDefault="00D45CA1"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19ADF2A" w:rsidR="00073D92" w:rsidRPr="00F553DC" w:rsidRDefault="00073D92" w:rsidP="00073D92">
          <w:pPr>
            <w:pStyle w:val="Footer1"/>
            <w:ind w:left="459"/>
          </w:pPr>
          <w:r>
            <w:t>Head Office</w:t>
          </w:r>
          <w:r w:rsidRPr="00F553DC">
            <w:t xml:space="preserve">: </w:t>
          </w:r>
          <w:r w:rsidR="00F3396A" w:rsidRPr="00F3396A">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2AAC7169" w:rsidR="00073D92" w:rsidRPr="00511A17" w:rsidRDefault="00073D92" w:rsidP="00073D92">
                <w:pPr>
                  <w:pStyle w:val="Footer1"/>
                </w:pPr>
                <w:r>
                  <w:t>Head O</w:t>
                </w:r>
                <w:r w:rsidRPr="00511A17">
                  <w:t xml:space="preserve">ffice: Vita Health Group, </w:t>
                </w:r>
                <w:r w:rsidR="0073024B">
                  <w:t>14 Woolhall Street, Bury</w:t>
                </w:r>
                <w:r>
                  <w:t xml:space="preserve"> St Edmunds, IP33 1</w:t>
                </w:r>
                <w:r w:rsidR="0073024B">
                  <w:t>LA</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5EB5C" w14:textId="77777777" w:rsidR="00D45CA1" w:rsidRDefault="00D45CA1" w:rsidP="00A96CB2">
      <w:r>
        <w:separator/>
      </w:r>
    </w:p>
  </w:footnote>
  <w:footnote w:type="continuationSeparator" w:id="0">
    <w:p w14:paraId="791AD653" w14:textId="77777777" w:rsidR="00D45CA1" w:rsidRDefault="00D45CA1"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547BE72" w:rsidR="005E1013" w:rsidRPr="004A6AA8" w:rsidRDefault="00337A7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071EA">
                                <w:t>Infection Prevention and Control (IPC)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B3B31">
                                <w:t>V1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547BE72" w:rsidR="005E1013" w:rsidRPr="004A6AA8" w:rsidRDefault="00337A7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071EA">
                          <w:t>Infection Prevention and Control (IPC)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B3B31">
                          <w:t>V1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5196664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34C09A2" w:rsidR="00AD6216" w:rsidRPr="004A6AA8" w:rsidRDefault="00337A72" w:rsidP="00AD6216">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071EA">
                                <w:t>Infection Prevention and Control (IPC)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34C09A2" w:rsidR="00AD6216" w:rsidRPr="004A6AA8" w:rsidRDefault="00337A72" w:rsidP="00AD6216">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071EA">
                          <w:t>Infection Prevention and Control (IPC)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337A72">
      <w:rPr>
        <w:noProof/>
        <w:lang w:eastAsia="en-GB"/>
      </w:rPr>
      <w:drawing>
        <wp:inline distT="0" distB="0" distL="0" distR="0" wp14:anchorId="11DEF3DC" wp14:editId="331E26FC">
          <wp:extent cx="2123902" cy="914400"/>
          <wp:effectExtent l="0" t="0" r="0" b="0"/>
          <wp:docPr id="1399174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74463" name="Picture 1399174463"/>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48.75pt;height:278.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38774A7"/>
    <w:multiLevelType w:val="multilevel"/>
    <w:tmpl w:val="705CD71C"/>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E5BC3"/>
    <w:multiLevelType w:val="multilevel"/>
    <w:tmpl w:val="6D7CB33C"/>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A31B4"/>
    <w:multiLevelType w:val="multilevel"/>
    <w:tmpl w:val="E1A28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B7BD7"/>
    <w:multiLevelType w:val="multilevel"/>
    <w:tmpl w:val="75907A5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152E03"/>
    <w:multiLevelType w:val="multilevel"/>
    <w:tmpl w:val="C2A84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A4A32"/>
    <w:multiLevelType w:val="multilevel"/>
    <w:tmpl w:val="46BAD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B12118"/>
    <w:multiLevelType w:val="multilevel"/>
    <w:tmpl w:val="7BD4D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54AB8"/>
    <w:multiLevelType w:val="multilevel"/>
    <w:tmpl w:val="7B64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5F0319"/>
    <w:multiLevelType w:val="multilevel"/>
    <w:tmpl w:val="75C80E5E"/>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3323FD"/>
    <w:multiLevelType w:val="multilevel"/>
    <w:tmpl w:val="3D06682A"/>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CAE3EF5"/>
    <w:multiLevelType w:val="multilevel"/>
    <w:tmpl w:val="1CBA8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2D25D6"/>
    <w:multiLevelType w:val="multilevel"/>
    <w:tmpl w:val="6EEC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568F2"/>
    <w:multiLevelType w:val="multilevel"/>
    <w:tmpl w:val="67988E78"/>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85F4D"/>
    <w:multiLevelType w:val="multilevel"/>
    <w:tmpl w:val="94088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C4FF5"/>
    <w:multiLevelType w:val="multilevel"/>
    <w:tmpl w:val="6B54E638"/>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A33248"/>
    <w:multiLevelType w:val="multilevel"/>
    <w:tmpl w:val="652E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A91F8E"/>
    <w:multiLevelType w:val="multilevel"/>
    <w:tmpl w:val="C988E63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173A89"/>
    <w:multiLevelType w:val="hybridMultilevel"/>
    <w:tmpl w:val="275C6088"/>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DB86AC2"/>
    <w:multiLevelType w:val="multilevel"/>
    <w:tmpl w:val="0EA298F0"/>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A7689C"/>
    <w:multiLevelType w:val="multilevel"/>
    <w:tmpl w:val="393E479A"/>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082FE4"/>
    <w:multiLevelType w:val="hybridMultilevel"/>
    <w:tmpl w:val="F0D22C0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8187027">
    <w:abstractNumId w:val="16"/>
  </w:num>
  <w:num w:numId="2" w16cid:durableId="160197441">
    <w:abstractNumId w:val="17"/>
  </w:num>
  <w:num w:numId="3" w16cid:durableId="1927491204">
    <w:abstractNumId w:val="3"/>
  </w:num>
  <w:num w:numId="4" w16cid:durableId="1875382168">
    <w:abstractNumId w:val="2"/>
  </w:num>
  <w:num w:numId="5" w16cid:durableId="1945796118">
    <w:abstractNumId w:val="1"/>
  </w:num>
  <w:num w:numId="6" w16cid:durableId="1466045340">
    <w:abstractNumId w:val="0"/>
  </w:num>
  <w:num w:numId="7" w16cid:durableId="1634670682">
    <w:abstractNumId w:val="25"/>
  </w:num>
  <w:num w:numId="8" w16cid:durableId="1289313925">
    <w:abstractNumId w:val="26"/>
  </w:num>
  <w:num w:numId="9" w16cid:durableId="190455740">
    <w:abstractNumId w:val="29"/>
  </w:num>
  <w:num w:numId="10" w16cid:durableId="2012180162">
    <w:abstractNumId w:val="10"/>
  </w:num>
  <w:num w:numId="11" w16cid:durableId="1087114871">
    <w:abstractNumId w:val="13"/>
  </w:num>
  <w:num w:numId="12" w16cid:durableId="309680214">
    <w:abstractNumId w:val="23"/>
  </w:num>
  <w:num w:numId="13" w16cid:durableId="719786281">
    <w:abstractNumId w:val="19"/>
  </w:num>
  <w:num w:numId="14" w16cid:durableId="1934901354">
    <w:abstractNumId w:val="6"/>
  </w:num>
  <w:num w:numId="15" w16cid:durableId="84039242">
    <w:abstractNumId w:val="11"/>
  </w:num>
  <w:num w:numId="16" w16cid:durableId="274870986">
    <w:abstractNumId w:val="21"/>
  </w:num>
  <w:num w:numId="17" w16cid:durableId="1197280468">
    <w:abstractNumId w:val="18"/>
  </w:num>
  <w:num w:numId="18" w16cid:durableId="1129670881">
    <w:abstractNumId w:val="8"/>
  </w:num>
  <w:num w:numId="19" w16cid:durableId="1607536389">
    <w:abstractNumId w:val="9"/>
  </w:num>
  <w:num w:numId="20" w16cid:durableId="131102599">
    <w:abstractNumId w:val="25"/>
  </w:num>
  <w:num w:numId="21" w16cid:durableId="1092044242">
    <w:abstractNumId w:val="12"/>
  </w:num>
  <w:num w:numId="22" w16cid:durableId="907377070">
    <w:abstractNumId w:val="24"/>
  </w:num>
  <w:num w:numId="23" w16cid:durableId="1567687474">
    <w:abstractNumId w:val="20"/>
  </w:num>
  <w:num w:numId="24" w16cid:durableId="1079982028">
    <w:abstractNumId w:val="7"/>
  </w:num>
  <w:num w:numId="25" w16cid:durableId="86728533">
    <w:abstractNumId w:val="28"/>
  </w:num>
  <w:num w:numId="26" w16cid:durableId="49381298">
    <w:abstractNumId w:val="5"/>
  </w:num>
  <w:num w:numId="27" w16cid:durableId="545990242">
    <w:abstractNumId w:val="22"/>
  </w:num>
  <w:num w:numId="28" w16cid:durableId="1682662997">
    <w:abstractNumId w:val="15"/>
  </w:num>
  <w:num w:numId="29" w16cid:durableId="2013993069">
    <w:abstractNumId w:val="14"/>
  </w:num>
  <w:num w:numId="30" w16cid:durableId="24404929">
    <w:abstractNumId w:val="4"/>
  </w:num>
  <w:num w:numId="31" w16cid:durableId="1655723553">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226FE"/>
    <w:rsid w:val="00026EA4"/>
    <w:rsid w:val="0003359B"/>
    <w:rsid w:val="000361B6"/>
    <w:rsid w:val="000451AC"/>
    <w:rsid w:val="000473EC"/>
    <w:rsid w:val="00060F4B"/>
    <w:rsid w:val="00073D92"/>
    <w:rsid w:val="0007487D"/>
    <w:rsid w:val="000778C3"/>
    <w:rsid w:val="0008067D"/>
    <w:rsid w:val="0009523A"/>
    <w:rsid w:val="00096451"/>
    <w:rsid w:val="000B543A"/>
    <w:rsid w:val="000C0CF5"/>
    <w:rsid w:val="000C22EE"/>
    <w:rsid w:val="000E4402"/>
    <w:rsid w:val="000F1AD1"/>
    <w:rsid w:val="000F3980"/>
    <w:rsid w:val="001138E4"/>
    <w:rsid w:val="00131BDA"/>
    <w:rsid w:val="00132A6E"/>
    <w:rsid w:val="00132FD4"/>
    <w:rsid w:val="00145448"/>
    <w:rsid w:val="001521BA"/>
    <w:rsid w:val="001549F9"/>
    <w:rsid w:val="001613CA"/>
    <w:rsid w:val="00166DFB"/>
    <w:rsid w:val="001730A7"/>
    <w:rsid w:val="00192749"/>
    <w:rsid w:val="00194845"/>
    <w:rsid w:val="00195D47"/>
    <w:rsid w:val="001A1E1C"/>
    <w:rsid w:val="001A4354"/>
    <w:rsid w:val="001A5D93"/>
    <w:rsid w:val="001B2A78"/>
    <w:rsid w:val="001C663C"/>
    <w:rsid w:val="001E08BF"/>
    <w:rsid w:val="001E1018"/>
    <w:rsid w:val="00203534"/>
    <w:rsid w:val="00203C76"/>
    <w:rsid w:val="0020579B"/>
    <w:rsid w:val="00214E5E"/>
    <w:rsid w:val="00232ED5"/>
    <w:rsid w:val="00233201"/>
    <w:rsid w:val="00236A48"/>
    <w:rsid w:val="0024338F"/>
    <w:rsid w:val="0026053A"/>
    <w:rsid w:val="002639E4"/>
    <w:rsid w:val="00264ABC"/>
    <w:rsid w:val="00266A7A"/>
    <w:rsid w:val="002767D4"/>
    <w:rsid w:val="00284165"/>
    <w:rsid w:val="002A0415"/>
    <w:rsid w:val="002A19D2"/>
    <w:rsid w:val="002A56DE"/>
    <w:rsid w:val="002C1886"/>
    <w:rsid w:val="002C26B0"/>
    <w:rsid w:val="002D3A10"/>
    <w:rsid w:val="002E07D3"/>
    <w:rsid w:val="002E12D8"/>
    <w:rsid w:val="002F0DC5"/>
    <w:rsid w:val="002F1DE0"/>
    <w:rsid w:val="002F6E88"/>
    <w:rsid w:val="003009D3"/>
    <w:rsid w:val="003163AC"/>
    <w:rsid w:val="003168DA"/>
    <w:rsid w:val="00317A49"/>
    <w:rsid w:val="00317DFA"/>
    <w:rsid w:val="0032018C"/>
    <w:rsid w:val="003225B7"/>
    <w:rsid w:val="00331D55"/>
    <w:rsid w:val="00331E01"/>
    <w:rsid w:val="0033354B"/>
    <w:rsid w:val="003355CB"/>
    <w:rsid w:val="00337A72"/>
    <w:rsid w:val="003469E4"/>
    <w:rsid w:val="003650D1"/>
    <w:rsid w:val="003660D8"/>
    <w:rsid w:val="0038772C"/>
    <w:rsid w:val="0038785C"/>
    <w:rsid w:val="0039660D"/>
    <w:rsid w:val="003A4976"/>
    <w:rsid w:val="003A576E"/>
    <w:rsid w:val="003A591F"/>
    <w:rsid w:val="003B3ED7"/>
    <w:rsid w:val="003B5154"/>
    <w:rsid w:val="003C1445"/>
    <w:rsid w:val="003E2915"/>
    <w:rsid w:val="003E6AC1"/>
    <w:rsid w:val="003F47B2"/>
    <w:rsid w:val="0040035C"/>
    <w:rsid w:val="00400F4B"/>
    <w:rsid w:val="00407D0E"/>
    <w:rsid w:val="004130E5"/>
    <w:rsid w:val="004131C8"/>
    <w:rsid w:val="004145C3"/>
    <w:rsid w:val="00414E62"/>
    <w:rsid w:val="00420840"/>
    <w:rsid w:val="004304F8"/>
    <w:rsid w:val="00440299"/>
    <w:rsid w:val="00443145"/>
    <w:rsid w:val="00443196"/>
    <w:rsid w:val="00446BA1"/>
    <w:rsid w:val="004513F5"/>
    <w:rsid w:val="00457906"/>
    <w:rsid w:val="004624E2"/>
    <w:rsid w:val="00463B4C"/>
    <w:rsid w:val="00464C15"/>
    <w:rsid w:val="00465718"/>
    <w:rsid w:val="00481D33"/>
    <w:rsid w:val="00484AE6"/>
    <w:rsid w:val="004A64BC"/>
    <w:rsid w:val="004A6826"/>
    <w:rsid w:val="004B0D6E"/>
    <w:rsid w:val="004C2608"/>
    <w:rsid w:val="004D088B"/>
    <w:rsid w:val="004D7F07"/>
    <w:rsid w:val="004E07B2"/>
    <w:rsid w:val="004E1C18"/>
    <w:rsid w:val="004F0177"/>
    <w:rsid w:val="004F04E2"/>
    <w:rsid w:val="004F05E6"/>
    <w:rsid w:val="0051296C"/>
    <w:rsid w:val="00522685"/>
    <w:rsid w:val="005263EA"/>
    <w:rsid w:val="005311A4"/>
    <w:rsid w:val="00531ED7"/>
    <w:rsid w:val="00536D88"/>
    <w:rsid w:val="005378DD"/>
    <w:rsid w:val="00547A12"/>
    <w:rsid w:val="0055685A"/>
    <w:rsid w:val="00556A5E"/>
    <w:rsid w:val="00557C5F"/>
    <w:rsid w:val="005604F4"/>
    <w:rsid w:val="00565B4E"/>
    <w:rsid w:val="005740ED"/>
    <w:rsid w:val="005750BA"/>
    <w:rsid w:val="005775F8"/>
    <w:rsid w:val="00583525"/>
    <w:rsid w:val="00583E2F"/>
    <w:rsid w:val="00585074"/>
    <w:rsid w:val="00586007"/>
    <w:rsid w:val="00590078"/>
    <w:rsid w:val="00591BF2"/>
    <w:rsid w:val="005A0A53"/>
    <w:rsid w:val="005A2909"/>
    <w:rsid w:val="005B5863"/>
    <w:rsid w:val="005C542F"/>
    <w:rsid w:val="005E1013"/>
    <w:rsid w:val="005E337E"/>
    <w:rsid w:val="005F4391"/>
    <w:rsid w:val="005F7120"/>
    <w:rsid w:val="00612BE0"/>
    <w:rsid w:val="00615CDB"/>
    <w:rsid w:val="00624018"/>
    <w:rsid w:val="00633851"/>
    <w:rsid w:val="00634E75"/>
    <w:rsid w:val="00640978"/>
    <w:rsid w:val="00640F57"/>
    <w:rsid w:val="00641071"/>
    <w:rsid w:val="0064279A"/>
    <w:rsid w:val="0064305C"/>
    <w:rsid w:val="006478FD"/>
    <w:rsid w:val="006513C6"/>
    <w:rsid w:val="006542DB"/>
    <w:rsid w:val="006552F0"/>
    <w:rsid w:val="006630B8"/>
    <w:rsid w:val="006644DE"/>
    <w:rsid w:val="00671ADC"/>
    <w:rsid w:val="00681597"/>
    <w:rsid w:val="00692648"/>
    <w:rsid w:val="00693619"/>
    <w:rsid w:val="00693A0A"/>
    <w:rsid w:val="006A1513"/>
    <w:rsid w:val="006A4366"/>
    <w:rsid w:val="006A615A"/>
    <w:rsid w:val="006A7FC8"/>
    <w:rsid w:val="006B647C"/>
    <w:rsid w:val="006B7CC8"/>
    <w:rsid w:val="006D5A73"/>
    <w:rsid w:val="006D6121"/>
    <w:rsid w:val="006D6F7B"/>
    <w:rsid w:val="006E187D"/>
    <w:rsid w:val="006E3219"/>
    <w:rsid w:val="006F280C"/>
    <w:rsid w:val="007071EA"/>
    <w:rsid w:val="0071459F"/>
    <w:rsid w:val="00721860"/>
    <w:rsid w:val="00722C6C"/>
    <w:rsid w:val="00723AA9"/>
    <w:rsid w:val="0073024B"/>
    <w:rsid w:val="00735584"/>
    <w:rsid w:val="00750F11"/>
    <w:rsid w:val="00757D37"/>
    <w:rsid w:val="007603AB"/>
    <w:rsid w:val="00776726"/>
    <w:rsid w:val="00777004"/>
    <w:rsid w:val="00785B9C"/>
    <w:rsid w:val="007917A5"/>
    <w:rsid w:val="007A1AC7"/>
    <w:rsid w:val="007B1F7A"/>
    <w:rsid w:val="007B3B31"/>
    <w:rsid w:val="007B5406"/>
    <w:rsid w:val="007B7162"/>
    <w:rsid w:val="007C1BFC"/>
    <w:rsid w:val="007C3C30"/>
    <w:rsid w:val="007D4458"/>
    <w:rsid w:val="007E0C04"/>
    <w:rsid w:val="007E138D"/>
    <w:rsid w:val="007E2E8C"/>
    <w:rsid w:val="007E2ED2"/>
    <w:rsid w:val="007E572F"/>
    <w:rsid w:val="007F105F"/>
    <w:rsid w:val="007F2A61"/>
    <w:rsid w:val="007F2D27"/>
    <w:rsid w:val="007F473F"/>
    <w:rsid w:val="00815820"/>
    <w:rsid w:val="00817458"/>
    <w:rsid w:val="00836694"/>
    <w:rsid w:val="008421E2"/>
    <w:rsid w:val="0084383C"/>
    <w:rsid w:val="00850BD3"/>
    <w:rsid w:val="00870118"/>
    <w:rsid w:val="008A0F87"/>
    <w:rsid w:val="008A331E"/>
    <w:rsid w:val="008B46BC"/>
    <w:rsid w:val="008B737F"/>
    <w:rsid w:val="008C2BF8"/>
    <w:rsid w:val="008D26D9"/>
    <w:rsid w:val="008D63A7"/>
    <w:rsid w:val="008E6C1F"/>
    <w:rsid w:val="008F4ECD"/>
    <w:rsid w:val="008F59BC"/>
    <w:rsid w:val="009006AB"/>
    <w:rsid w:val="009057A6"/>
    <w:rsid w:val="00912BD6"/>
    <w:rsid w:val="0091620C"/>
    <w:rsid w:val="00917EC9"/>
    <w:rsid w:val="00925DD9"/>
    <w:rsid w:val="00945FA7"/>
    <w:rsid w:val="00952D23"/>
    <w:rsid w:val="00962BC8"/>
    <w:rsid w:val="00966F66"/>
    <w:rsid w:val="00970506"/>
    <w:rsid w:val="009713E7"/>
    <w:rsid w:val="00973D5C"/>
    <w:rsid w:val="009753F0"/>
    <w:rsid w:val="00975A1A"/>
    <w:rsid w:val="00992211"/>
    <w:rsid w:val="009A3A1A"/>
    <w:rsid w:val="009A706F"/>
    <w:rsid w:val="009B2062"/>
    <w:rsid w:val="009B41B8"/>
    <w:rsid w:val="009C3F2D"/>
    <w:rsid w:val="009C5D0B"/>
    <w:rsid w:val="009D41D0"/>
    <w:rsid w:val="009D591E"/>
    <w:rsid w:val="009D715E"/>
    <w:rsid w:val="009E188E"/>
    <w:rsid w:val="009E32A2"/>
    <w:rsid w:val="009E4D3C"/>
    <w:rsid w:val="00A00821"/>
    <w:rsid w:val="00A024FB"/>
    <w:rsid w:val="00A07C6E"/>
    <w:rsid w:val="00A1164C"/>
    <w:rsid w:val="00A1476E"/>
    <w:rsid w:val="00A215C5"/>
    <w:rsid w:val="00A308CF"/>
    <w:rsid w:val="00A34AC6"/>
    <w:rsid w:val="00A47E5C"/>
    <w:rsid w:val="00A51DA9"/>
    <w:rsid w:val="00A562C0"/>
    <w:rsid w:val="00A62D61"/>
    <w:rsid w:val="00A66B4F"/>
    <w:rsid w:val="00A820BE"/>
    <w:rsid w:val="00A867FC"/>
    <w:rsid w:val="00A87CA6"/>
    <w:rsid w:val="00A909EF"/>
    <w:rsid w:val="00A95664"/>
    <w:rsid w:val="00A96CB2"/>
    <w:rsid w:val="00AA197E"/>
    <w:rsid w:val="00AA1DDC"/>
    <w:rsid w:val="00AA2D9F"/>
    <w:rsid w:val="00AB093A"/>
    <w:rsid w:val="00AB235F"/>
    <w:rsid w:val="00AC21A4"/>
    <w:rsid w:val="00AC5FDD"/>
    <w:rsid w:val="00AC76FA"/>
    <w:rsid w:val="00AD1C29"/>
    <w:rsid w:val="00AD6216"/>
    <w:rsid w:val="00AF5C72"/>
    <w:rsid w:val="00AF6D0E"/>
    <w:rsid w:val="00B06D78"/>
    <w:rsid w:val="00B1264B"/>
    <w:rsid w:val="00B1302A"/>
    <w:rsid w:val="00B2053D"/>
    <w:rsid w:val="00B21FAC"/>
    <w:rsid w:val="00B448D2"/>
    <w:rsid w:val="00B4728A"/>
    <w:rsid w:val="00B507D2"/>
    <w:rsid w:val="00B56264"/>
    <w:rsid w:val="00B606BF"/>
    <w:rsid w:val="00B73492"/>
    <w:rsid w:val="00B83328"/>
    <w:rsid w:val="00B96FF4"/>
    <w:rsid w:val="00BA58A0"/>
    <w:rsid w:val="00BB0231"/>
    <w:rsid w:val="00BB1657"/>
    <w:rsid w:val="00BB327E"/>
    <w:rsid w:val="00BB3F7F"/>
    <w:rsid w:val="00BC09DF"/>
    <w:rsid w:val="00BC296B"/>
    <w:rsid w:val="00BC7E72"/>
    <w:rsid w:val="00BD03ED"/>
    <w:rsid w:val="00BD33A9"/>
    <w:rsid w:val="00BD35D8"/>
    <w:rsid w:val="00BE2699"/>
    <w:rsid w:val="00BE4EA4"/>
    <w:rsid w:val="00BE5187"/>
    <w:rsid w:val="00BF6F51"/>
    <w:rsid w:val="00BF7514"/>
    <w:rsid w:val="00C07454"/>
    <w:rsid w:val="00C07A4A"/>
    <w:rsid w:val="00C113DF"/>
    <w:rsid w:val="00C240C3"/>
    <w:rsid w:val="00C26FAA"/>
    <w:rsid w:val="00C27D94"/>
    <w:rsid w:val="00C470DD"/>
    <w:rsid w:val="00C50A66"/>
    <w:rsid w:val="00C53B5F"/>
    <w:rsid w:val="00C57856"/>
    <w:rsid w:val="00C600C2"/>
    <w:rsid w:val="00C63177"/>
    <w:rsid w:val="00C653AC"/>
    <w:rsid w:val="00C7219D"/>
    <w:rsid w:val="00C823C5"/>
    <w:rsid w:val="00C83042"/>
    <w:rsid w:val="00C84458"/>
    <w:rsid w:val="00CA13BF"/>
    <w:rsid w:val="00CA4700"/>
    <w:rsid w:val="00CA7205"/>
    <w:rsid w:val="00CB45D6"/>
    <w:rsid w:val="00CC5C14"/>
    <w:rsid w:val="00CE6F74"/>
    <w:rsid w:val="00CF320A"/>
    <w:rsid w:val="00CF326B"/>
    <w:rsid w:val="00D00FDB"/>
    <w:rsid w:val="00D01434"/>
    <w:rsid w:val="00D029A9"/>
    <w:rsid w:val="00D05DCA"/>
    <w:rsid w:val="00D070A1"/>
    <w:rsid w:val="00D128B2"/>
    <w:rsid w:val="00D13D94"/>
    <w:rsid w:val="00D15202"/>
    <w:rsid w:val="00D15664"/>
    <w:rsid w:val="00D324BD"/>
    <w:rsid w:val="00D331FB"/>
    <w:rsid w:val="00D34653"/>
    <w:rsid w:val="00D352BC"/>
    <w:rsid w:val="00D35672"/>
    <w:rsid w:val="00D4532F"/>
    <w:rsid w:val="00D45B48"/>
    <w:rsid w:val="00D45CA1"/>
    <w:rsid w:val="00D471E8"/>
    <w:rsid w:val="00D610B8"/>
    <w:rsid w:val="00D66587"/>
    <w:rsid w:val="00D6734C"/>
    <w:rsid w:val="00D75C60"/>
    <w:rsid w:val="00D76E89"/>
    <w:rsid w:val="00D801E2"/>
    <w:rsid w:val="00D803BE"/>
    <w:rsid w:val="00D84D7D"/>
    <w:rsid w:val="00D858C5"/>
    <w:rsid w:val="00D962FC"/>
    <w:rsid w:val="00DA12CF"/>
    <w:rsid w:val="00DB2F17"/>
    <w:rsid w:val="00DB520A"/>
    <w:rsid w:val="00DD3296"/>
    <w:rsid w:val="00DE205B"/>
    <w:rsid w:val="00DF02BD"/>
    <w:rsid w:val="00DF288D"/>
    <w:rsid w:val="00DF68C8"/>
    <w:rsid w:val="00E027ED"/>
    <w:rsid w:val="00E10AA4"/>
    <w:rsid w:val="00E11E54"/>
    <w:rsid w:val="00E12C2D"/>
    <w:rsid w:val="00E2005A"/>
    <w:rsid w:val="00E20F95"/>
    <w:rsid w:val="00E32957"/>
    <w:rsid w:val="00E32E56"/>
    <w:rsid w:val="00E4225D"/>
    <w:rsid w:val="00E4379F"/>
    <w:rsid w:val="00E576F4"/>
    <w:rsid w:val="00E653E9"/>
    <w:rsid w:val="00E730AE"/>
    <w:rsid w:val="00E83B5A"/>
    <w:rsid w:val="00E8547A"/>
    <w:rsid w:val="00E908C2"/>
    <w:rsid w:val="00E96376"/>
    <w:rsid w:val="00E965E1"/>
    <w:rsid w:val="00EA11F5"/>
    <w:rsid w:val="00EA1B96"/>
    <w:rsid w:val="00EA27A9"/>
    <w:rsid w:val="00EA753A"/>
    <w:rsid w:val="00EB1F39"/>
    <w:rsid w:val="00EB76F5"/>
    <w:rsid w:val="00EC4FA3"/>
    <w:rsid w:val="00ED2F2C"/>
    <w:rsid w:val="00ED33CE"/>
    <w:rsid w:val="00ED6078"/>
    <w:rsid w:val="00EE02AA"/>
    <w:rsid w:val="00EE1E09"/>
    <w:rsid w:val="00EE5907"/>
    <w:rsid w:val="00EE6476"/>
    <w:rsid w:val="00F0798E"/>
    <w:rsid w:val="00F3396A"/>
    <w:rsid w:val="00F553DC"/>
    <w:rsid w:val="00F612B6"/>
    <w:rsid w:val="00F62430"/>
    <w:rsid w:val="00F63E60"/>
    <w:rsid w:val="00F66FA7"/>
    <w:rsid w:val="00F67D50"/>
    <w:rsid w:val="00F722AF"/>
    <w:rsid w:val="00F84BD1"/>
    <w:rsid w:val="00F87960"/>
    <w:rsid w:val="00F87A1E"/>
    <w:rsid w:val="00F92D11"/>
    <w:rsid w:val="00F9670F"/>
    <w:rsid w:val="00FA0056"/>
    <w:rsid w:val="00FA0CDC"/>
    <w:rsid w:val="00FB0343"/>
    <w:rsid w:val="00FB28AC"/>
    <w:rsid w:val="00FB66FE"/>
    <w:rsid w:val="00FE79B8"/>
    <w:rsid w:val="00FF5529"/>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47525557">
      <w:bodyDiv w:val="1"/>
      <w:marLeft w:val="0"/>
      <w:marRight w:val="0"/>
      <w:marTop w:val="0"/>
      <w:marBottom w:val="0"/>
      <w:divBdr>
        <w:top w:val="none" w:sz="0" w:space="0" w:color="auto"/>
        <w:left w:val="none" w:sz="0" w:space="0" w:color="auto"/>
        <w:bottom w:val="none" w:sz="0" w:space="0" w:color="auto"/>
        <w:right w:val="none" w:sz="0" w:space="0" w:color="auto"/>
      </w:divBdr>
    </w:div>
    <w:div w:id="15842587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82850176">
      <w:bodyDiv w:val="1"/>
      <w:marLeft w:val="0"/>
      <w:marRight w:val="0"/>
      <w:marTop w:val="0"/>
      <w:marBottom w:val="0"/>
      <w:divBdr>
        <w:top w:val="none" w:sz="0" w:space="0" w:color="auto"/>
        <w:left w:val="none" w:sz="0" w:space="0" w:color="auto"/>
        <w:bottom w:val="none" w:sz="0" w:space="0" w:color="auto"/>
        <w:right w:val="none" w:sz="0" w:space="0" w:color="auto"/>
      </w:divBdr>
    </w:div>
    <w:div w:id="795369219">
      <w:bodyDiv w:val="1"/>
      <w:marLeft w:val="0"/>
      <w:marRight w:val="0"/>
      <w:marTop w:val="0"/>
      <w:marBottom w:val="0"/>
      <w:divBdr>
        <w:top w:val="none" w:sz="0" w:space="0" w:color="auto"/>
        <w:left w:val="none" w:sz="0" w:space="0" w:color="auto"/>
        <w:bottom w:val="none" w:sz="0" w:space="0" w:color="auto"/>
        <w:right w:val="none" w:sz="0" w:space="0" w:color="auto"/>
      </w:divBdr>
    </w:div>
    <w:div w:id="1145701525">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6580362">
      <w:bodyDiv w:val="1"/>
      <w:marLeft w:val="0"/>
      <w:marRight w:val="0"/>
      <w:marTop w:val="0"/>
      <w:marBottom w:val="0"/>
      <w:divBdr>
        <w:top w:val="none" w:sz="0" w:space="0" w:color="auto"/>
        <w:left w:val="none" w:sz="0" w:space="0" w:color="auto"/>
        <w:bottom w:val="none" w:sz="0" w:space="0" w:color="auto"/>
        <w:right w:val="none" w:sz="0" w:space="0" w:color="auto"/>
      </w:divBdr>
    </w:div>
    <w:div w:id="1476801244">
      <w:bodyDiv w:val="1"/>
      <w:marLeft w:val="0"/>
      <w:marRight w:val="0"/>
      <w:marTop w:val="0"/>
      <w:marBottom w:val="0"/>
      <w:divBdr>
        <w:top w:val="none" w:sz="0" w:space="0" w:color="auto"/>
        <w:left w:val="none" w:sz="0" w:space="0" w:color="auto"/>
        <w:bottom w:val="none" w:sz="0" w:space="0" w:color="auto"/>
        <w:right w:val="none" w:sz="0" w:space="0" w:color="auto"/>
      </w:divBdr>
    </w:div>
    <w:div w:id="166986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64A72"/>
    <w:rsid w:val="009753F0"/>
    <w:rsid w:val="00A03C8F"/>
    <w:rsid w:val="00CB6CF1"/>
    <w:rsid w:val="00D43D3B"/>
    <w:rsid w:val="00DB2F17"/>
    <w:rsid w:val="00E8598A"/>
    <w:rsid w:val="00FB6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6</Pages>
  <Words>1363</Words>
  <Characters>7770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Prevention and Control (IPC) Lead</dc:title>
  <dc:subject>Enter Sub-Title Of Policy</dc:subject>
  <dc:creator>Human Resources</dc:creator>
  <cp:keywords>TBC</cp:keywords>
  <dc:description>V1</dc:description>
  <cp:lastModifiedBy>Emily Lowes</cp:lastModifiedBy>
  <cp:revision>2</cp:revision>
  <cp:lastPrinted>2018-03-16T13:36:00Z</cp:lastPrinted>
  <dcterms:created xsi:type="dcterms:W3CDTF">2024-10-02T14:55:00Z</dcterms:created>
  <dcterms:modified xsi:type="dcterms:W3CDTF">2024-10-02T14:55:00Z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