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51052068" w:rsidR="008421E2" w:rsidRDefault="008421E2" w:rsidP="00912BD6">
      <w:pPr>
        <w:spacing w:line="240" w:lineRule="auto"/>
        <w:rPr>
          <w:noProof/>
          <w:lang w:eastAsia="en-GB"/>
        </w:rPr>
      </w:pPr>
    </w:p>
    <w:p w14:paraId="3E4F3F2A" w14:textId="77777777" w:rsidR="0003359B" w:rsidRDefault="0003359B" w:rsidP="0003359B">
      <w:pPr>
        <w:rPr>
          <w:noProof/>
          <w:lang w:eastAsia="en-GB"/>
        </w:rPr>
      </w:pPr>
    </w:p>
    <w:p w14:paraId="0136FECF" w14:textId="4441417E" w:rsidR="005E1013" w:rsidRPr="005F4E34" w:rsidRDefault="00DE2250" w:rsidP="005E1013">
      <w:pPr>
        <w:spacing w:line="240" w:lineRule="auto"/>
        <w:rPr>
          <w:noProof/>
          <w:color w:val="008385"/>
          <w:lang w:eastAsia="en-GB"/>
        </w:rPr>
      </w:pPr>
      <w:sdt>
        <w:sdtPr>
          <w:rPr>
            <w:rStyle w:val="TitleChar"/>
            <w:color w:val="008385"/>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4430B5" w:rsidRPr="005F4E34">
            <w:rPr>
              <w:rStyle w:val="TitleChar"/>
              <w:color w:val="008385"/>
            </w:rPr>
            <w:t>Deputy Commercial Finance Director</w:t>
          </w:r>
        </w:sdtContent>
      </w:sdt>
    </w:p>
    <w:p w14:paraId="08901311" w14:textId="7213BF62" w:rsidR="00D13D94" w:rsidRPr="005F4E34" w:rsidRDefault="00D13D94" w:rsidP="00735584">
      <w:pPr>
        <w:jc w:val="both"/>
        <w:rPr>
          <w:color w:val="008385"/>
        </w:rPr>
      </w:pPr>
    </w:p>
    <w:p w14:paraId="7AA213D0" w14:textId="6ECD46CA" w:rsidR="00966F66" w:rsidRPr="005F4E34" w:rsidRDefault="00966F66" w:rsidP="00966F66">
      <w:pPr>
        <w:pStyle w:val="Heading2"/>
        <w:rPr>
          <w:color w:val="008385"/>
        </w:rPr>
      </w:pPr>
      <w:r w:rsidRPr="005F4E34">
        <w:rPr>
          <w:color w:val="008385"/>
        </w:rP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0C074F0">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3ECF1E1B" w:rsidR="009F68CA" w:rsidRPr="002F2C61" w:rsidRDefault="005E102D" w:rsidP="009F68CA">
            <w:pPr>
              <w:spacing w:before="100" w:after="100"/>
              <w:rPr>
                <w:rFonts w:cs="Calibri"/>
                <w:szCs w:val="22"/>
              </w:rPr>
            </w:pPr>
            <w:r>
              <w:rPr>
                <w:rFonts w:cs="Calibri"/>
                <w:szCs w:val="22"/>
              </w:rPr>
              <w:t>D</w:t>
            </w:r>
            <w:r w:rsidR="00352E4A">
              <w:rPr>
                <w:rFonts w:cs="Calibri"/>
                <w:szCs w:val="22"/>
              </w:rPr>
              <w:t>eputy Commercial Finance Director</w:t>
            </w:r>
          </w:p>
        </w:tc>
      </w:tr>
      <w:tr w:rsidR="009F68CA" w14:paraId="19AB6488" w14:textId="77777777" w:rsidTr="00C074F0">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6914CEC0" w:rsidR="009F68CA" w:rsidRPr="002F2C61" w:rsidRDefault="002F2C61" w:rsidP="009F68CA">
            <w:pPr>
              <w:spacing w:before="100" w:after="100"/>
              <w:rPr>
                <w:rFonts w:cs="Calibri"/>
                <w:szCs w:val="22"/>
              </w:rPr>
            </w:pPr>
            <w:r w:rsidRPr="002F2C61">
              <w:rPr>
                <w:rFonts w:cs="Calibri"/>
                <w:szCs w:val="22"/>
              </w:rPr>
              <w:t>Finance</w:t>
            </w:r>
          </w:p>
        </w:tc>
      </w:tr>
      <w:tr w:rsidR="002F2C61" w14:paraId="5BA82C71" w14:textId="77777777" w:rsidTr="00C074F0">
        <w:tc>
          <w:tcPr>
            <w:tcW w:w="3256" w:type="dxa"/>
            <w:vAlign w:val="center"/>
          </w:tcPr>
          <w:p w14:paraId="5F3C8594" w14:textId="774214C3" w:rsidR="002F2C61" w:rsidRDefault="002F2C61" w:rsidP="002F2C61">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2731DCFA" w:rsidR="002F2C61" w:rsidRPr="002F2C61" w:rsidRDefault="002F2C61" w:rsidP="002F2C61">
            <w:pPr>
              <w:spacing w:before="100" w:after="100"/>
              <w:rPr>
                <w:rFonts w:cs="Calibri"/>
                <w:szCs w:val="22"/>
              </w:rPr>
            </w:pPr>
            <w:r w:rsidRPr="002F2C61">
              <w:rPr>
                <w:rFonts w:cs="Calibri"/>
                <w:szCs w:val="22"/>
              </w:rPr>
              <w:t xml:space="preserve">Home </w:t>
            </w:r>
            <w:r w:rsidR="00EF35D7">
              <w:rPr>
                <w:rFonts w:cs="Calibri"/>
                <w:szCs w:val="22"/>
              </w:rPr>
              <w:t>Based</w:t>
            </w:r>
          </w:p>
        </w:tc>
      </w:tr>
      <w:tr w:rsidR="002F2C61" w14:paraId="61E91F65" w14:textId="77777777" w:rsidTr="00C074F0">
        <w:tc>
          <w:tcPr>
            <w:tcW w:w="3256" w:type="dxa"/>
            <w:vAlign w:val="center"/>
          </w:tcPr>
          <w:p w14:paraId="60094B3E" w14:textId="5F98780B" w:rsidR="002F2C61" w:rsidRDefault="002F2C61" w:rsidP="002F2C61">
            <w:pPr>
              <w:spacing w:before="100" w:after="100"/>
            </w:pPr>
            <w:r w:rsidRPr="004518CA">
              <w:t>Reporting to</w:t>
            </w:r>
            <w:r>
              <w:t>:</w:t>
            </w:r>
          </w:p>
          <w:p w14:paraId="5DBDD5AC" w14:textId="6618C9F9" w:rsidR="002F2C61" w:rsidRDefault="002F2C61" w:rsidP="002F2C61">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24532298" w:rsidR="002F2C61" w:rsidRPr="002F2C61" w:rsidRDefault="002F2C61" w:rsidP="002F2C61">
            <w:pPr>
              <w:spacing w:before="100" w:after="100"/>
              <w:rPr>
                <w:rFonts w:cs="Calibri"/>
                <w:szCs w:val="22"/>
              </w:rPr>
            </w:pPr>
            <w:r w:rsidRPr="002F2C61">
              <w:rPr>
                <w:rFonts w:cs="Calibri"/>
                <w:szCs w:val="22"/>
              </w:rPr>
              <w:t>Commercial Finance Director</w:t>
            </w:r>
          </w:p>
        </w:tc>
      </w:tr>
      <w:tr w:rsidR="002F2C61" w14:paraId="13153721" w14:textId="77777777" w:rsidTr="00C074F0">
        <w:tc>
          <w:tcPr>
            <w:tcW w:w="3256" w:type="dxa"/>
            <w:vAlign w:val="center"/>
          </w:tcPr>
          <w:p w14:paraId="6993CC7D" w14:textId="7342EA56" w:rsidR="002F2C61" w:rsidRDefault="002F2C61" w:rsidP="002F2C61">
            <w:pPr>
              <w:spacing w:before="100" w:after="100"/>
            </w:pPr>
            <w:r>
              <w:t>Direct reports:</w:t>
            </w:r>
          </w:p>
          <w:p w14:paraId="47666179" w14:textId="0971B0AF" w:rsidR="002F2C61" w:rsidRDefault="002F2C61" w:rsidP="002F2C61">
            <w:pPr>
              <w:spacing w:before="100" w:after="100"/>
            </w:pPr>
            <w:r>
              <w:t xml:space="preserve"> (job title only)</w:t>
            </w:r>
          </w:p>
        </w:tc>
        <w:tc>
          <w:tcPr>
            <w:tcW w:w="6706" w:type="dxa"/>
            <w:vAlign w:val="center"/>
          </w:tcPr>
          <w:p w14:paraId="3DB63B7E" w14:textId="113F5E9F" w:rsidR="002F2C61" w:rsidRPr="002F2C61" w:rsidRDefault="00B9325F" w:rsidP="002F2C61">
            <w:pPr>
              <w:spacing w:before="100" w:after="100"/>
              <w:rPr>
                <w:rFonts w:cs="Calibri"/>
                <w:szCs w:val="22"/>
              </w:rPr>
            </w:pPr>
            <w:r>
              <w:rPr>
                <w:rFonts w:cs="Calibri"/>
                <w:szCs w:val="22"/>
              </w:rPr>
              <w:t>N/A</w:t>
            </w:r>
          </w:p>
        </w:tc>
      </w:tr>
      <w:tr w:rsidR="002F2C61" w14:paraId="61110A87" w14:textId="77777777" w:rsidTr="00C074F0">
        <w:tc>
          <w:tcPr>
            <w:tcW w:w="3256" w:type="dxa"/>
            <w:vAlign w:val="center"/>
          </w:tcPr>
          <w:p w14:paraId="5996CE35" w14:textId="6924CA2B" w:rsidR="002F2C61" w:rsidRDefault="002F2C61" w:rsidP="002F2C61">
            <w:pPr>
              <w:spacing w:before="100" w:after="100"/>
            </w:pPr>
            <w:r>
              <w:t xml:space="preserve">Accountable to: </w:t>
            </w:r>
          </w:p>
          <w:p w14:paraId="2FF0A51C" w14:textId="3D895BE2" w:rsidR="002F2C61" w:rsidRDefault="002F2C61" w:rsidP="002F2C61">
            <w:pPr>
              <w:spacing w:before="100" w:after="100"/>
            </w:pPr>
            <w:r>
              <w:t>(where applicable)</w:t>
            </w:r>
          </w:p>
        </w:tc>
        <w:tc>
          <w:tcPr>
            <w:tcW w:w="6706" w:type="dxa"/>
            <w:vAlign w:val="center"/>
          </w:tcPr>
          <w:p w14:paraId="3DFAFEE2" w14:textId="5CD54C6C" w:rsidR="002F2C61" w:rsidRPr="002F2C61" w:rsidRDefault="004430B5" w:rsidP="002F2C61">
            <w:pPr>
              <w:spacing w:before="100" w:after="100"/>
              <w:rPr>
                <w:rFonts w:cs="Calibri"/>
                <w:szCs w:val="22"/>
              </w:rPr>
            </w:pPr>
            <w:r>
              <w:rPr>
                <w:rFonts w:cs="Calibri"/>
                <w:szCs w:val="22"/>
              </w:rPr>
              <w:t>Workplace Health MD</w:t>
            </w:r>
          </w:p>
        </w:tc>
      </w:tr>
      <w:tr w:rsidR="002F2C61" w14:paraId="459E1B5F" w14:textId="77777777" w:rsidTr="00C074F0">
        <w:tc>
          <w:tcPr>
            <w:tcW w:w="3256" w:type="dxa"/>
            <w:vAlign w:val="center"/>
          </w:tcPr>
          <w:p w14:paraId="3F242D0D" w14:textId="7D9E94A7" w:rsidR="002F2C61" w:rsidRDefault="002F2C61" w:rsidP="002F2C61">
            <w:pPr>
              <w:spacing w:before="100" w:after="100"/>
            </w:pPr>
            <w:r>
              <w:t>Responsible to:</w:t>
            </w:r>
          </w:p>
          <w:p w14:paraId="65CDC27E" w14:textId="436CC73C" w:rsidR="002F2C61" w:rsidRDefault="002F2C61" w:rsidP="002F2C61">
            <w:pPr>
              <w:spacing w:before="100" w:after="100"/>
            </w:pPr>
            <w:r>
              <w:t>(where applicable)</w:t>
            </w:r>
          </w:p>
        </w:tc>
        <w:tc>
          <w:tcPr>
            <w:tcW w:w="6706" w:type="dxa"/>
            <w:vAlign w:val="center"/>
          </w:tcPr>
          <w:p w14:paraId="21AB59BB" w14:textId="42D36926" w:rsidR="002F2C61" w:rsidRPr="002F2C61" w:rsidRDefault="002F2C61" w:rsidP="002F2C61">
            <w:pPr>
              <w:spacing w:before="100" w:after="100"/>
              <w:rPr>
                <w:rFonts w:cs="Calibri"/>
                <w:szCs w:val="22"/>
              </w:rPr>
            </w:pPr>
          </w:p>
        </w:tc>
      </w:tr>
      <w:tr w:rsidR="002F2C61" w14:paraId="34A2BEBB" w14:textId="77777777" w:rsidTr="00C074F0">
        <w:tc>
          <w:tcPr>
            <w:tcW w:w="3256" w:type="dxa"/>
            <w:vAlign w:val="center"/>
          </w:tcPr>
          <w:p w14:paraId="5D8CED71" w14:textId="47B9CCF8" w:rsidR="002F2C61" w:rsidRDefault="002F2C61" w:rsidP="002F2C61">
            <w:pPr>
              <w:spacing w:before="100" w:after="100"/>
            </w:pPr>
            <w:r>
              <w:t>Job purpose:</w:t>
            </w:r>
          </w:p>
        </w:tc>
        <w:tc>
          <w:tcPr>
            <w:tcW w:w="6706" w:type="dxa"/>
            <w:vAlign w:val="center"/>
          </w:tcPr>
          <w:p w14:paraId="7F7EE9BB" w14:textId="77777777" w:rsidR="00625748" w:rsidRPr="00625748" w:rsidRDefault="00625748" w:rsidP="00625748">
            <w:pPr>
              <w:shd w:val="clear" w:color="auto" w:fill="FFFFFF"/>
              <w:spacing w:after="150"/>
              <w:rPr>
                <w:rFonts w:eastAsia="Times New Roman" w:cs="Calibri"/>
                <w:color w:val="333333"/>
                <w:kern w:val="0"/>
                <w:szCs w:val="22"/>
                <w:lang w:eastAsia="en-GB"/>
              </w:rPr>
            </w:pPr>
            <w:r w:rsidRPr="00625748">
              <w:rPr>
                <w:rFonts w:eastAsia="Times New Roman" w:cs="Calibri"/>
                <w:color w:val="333333"/>
                <w:kern w:val="0"/>
                <w:szCs w:val="22"/>
                <w:lang w:eastAsia="en-GB"/>
              </w:rPr>
              <w:t>The Deputy Commercial Finance Director supports the Commercial Finance Director in leading the commercial finance function, driving financial performance, partnering with senior stakeholders, improving commercial decision</w:t>
            </w:r>
            <w:r w:rsidRPr="00625748">
              <w:rPr>
                <w:rFonts w:eastAsia="Times New Roman" w:cs="Calibri"/>
                <w:color w:val="333333"/>
                <w:kern w:val="0"/>
                <w:szCs w:val="22"/>
                <w:lang w:eastAsia="en-GB"/>
              </w:rPr>
              <w:noBreakHyphen/>
              <w:t>making, and ensuring robust financial governance. The role acts as a senior business partner, providing insight, challenge, and strategic support across the organisation.</w:t>
            </w:r>
          </w:p>
          <w:p w14:paraId="78E043FF" w14:textId="0F9B0F96" w:rsidR="002F2C61" w:rsidRDefault="00625748" w:rsidP="007F39BC">
            <w:pPr>
              <w:shd w:val="clear" w:color="auto" w:fill="FFFFFF"/>
              <w:spacing w:after="150"/>
              <w:rPr>
                <w:rFonts w:eastAsia="Times New Roman" w:cs="Calibri"/>
                <w:color w:val="333333"/>
                <w:kern w:val="0"/>
                <w:szCs w:val="22"/>
                <w:lang w:eastAsia="en-GB"/>
              </w:rPr>
            </w:pPr>
            <w:r>
              <w:rPr>
                <w:rFonts w:eastAsia="Times New Roman" w:cs="Calibri"/>
                <w:color w:val="333333"/>
                <w:kern w:val="0"/>
                <w:szCs w:val="22"/>
                <w:lang w:eastAsia="en-GB"/>
              </w:rPr>
              <w:t>P</w:t>
            </w:r>
            <w:r w:rsidR="00EF35D7">
              <w:rPr>
                <w:rFonts w:eastAsia="Times New Roman" w:cs="Calibri"/>
                <w:color w:val="333333"/>
                <w:kern w:val="0"/>
                <w:szCs w:val="22"/>
                <w:lang w:eastAsia="en-GB"/>
              </w:rPr>
              <w:t xml:space="preserve">rincipally </w:t>
            </w:r>
            <w:r w:rsidR="002F2C61" w:rsidRPr="002F2C61">
              <w:rPr>
                <w:rFonts w:eastAsia="Times New Roman" w:cs="Calibri"/>
                <w:color w:val="333333"/>
                <w:kern w:val="0"/>
                <w:szCs w:val="22"/>
                <w:lang w:eastAsia="en-GB"/>
              </w:rPr>
              <w:t xml:space="preserve">responsible for the financial performance of the </w:t>
            </w:r>
            <w:r w:rsidR="00EF35D7">
              <w:rPr>
                <w:rFonts w:eastAsia="Times New Roman" w:cs="Calibri"/>
                <w:color w:val="333333"/>
                <w:kern w:val="0"/>
                <w:szCs w:val="22"/>
                <w:lang w:eastAsia="en-GB"/>
              </w:rPr>
              <w:t xml:space="preserve">Workplace Health </w:t>
            </w:r>
            <w:r w:rsidR="006142E4">
              <w:rPr>
                <w:rFonts w:eastAsia="Times New Roman" w:cs="Calibri"/>
                <w:color w:val="333333"/>
                <w:kern w:val="0"/>
                <w:szCs w:val="22"/>
                <w:lang w:eastAsia="en-GB"/>
              </w:rPr>
              <w:t>Business</w:t>
            </w:r>
            <w:r w:rsidR="002F2C61" w:rsidRPr="002F2C61">
              <w:rPr>
                <w:rFonts w:eastAsia="Times New Roman" w:cs="Calibri"/>
                <w:color w:val="333333"/>
                <w:kern w:val="0"/>
                <w:szCs w:val="22"/>
                <w:lang w:eastAsia="en-GB"/>
              </w:rPr>
              <w:t xml:space="preserve"> </w:t>
            </w:r>
            <w:r w:rsidR="00EF35D7">
              <w:rPr>
                <w:rFonts w:eastAsia="Times New Roman" w:cs="Calibri"/>
                <w:color w:val="333333"/>
                <w:kern w:val="0"/>
                <w:szCs w:val="22"/>
                <w:lang w:eastAsia="en-GB"/>
              </w:rPr>
              <w:t>Area</w:t>
            </w:r>
            <w:r w:rsidR="008F29C0">
              <w:rPr>
                <w:rFonts w:eastAsia="Times New Roman" w:cs="Calibri"/>
                <w:color w:val="333333"/>
                <w:kern w:val="0"/>
                <w:szCs w:val="22"/>
                <w:lang w:eastAsia="en-GB"/>
              </w:rPr>
              <w:t xml:space="preserve"> w</w:t>
            </w:r>
            <w:r w:rsidR="002F2C61" w:rsidRPr="002F2C61">
              <w:rPr>
                <w:rFonts w:eastAsia="Times New Roman" w:cs="Calibri"/>
                <w:color w:val="333333"/>
                <w:kern w:val="0"/>
                <w:szCs w:val="22"/>
                <w:lang w:eastAsia="en-GB"/>
              </w:rPr>
              <w:t>orking across multiple service</w:t>
            </w:r>
            <w:r w:rsidR="00324751">
              <w:rPr>
                <w:rFonts w:eastAsia="Times New Roman" w:cs="Calibri"/>
                <w:color w:val="333333"/>
                <w:kern w:val="0"/>
                <w:szCs w:val="22"/>
                <w:lang w:eastAsia="en-GB"/>
              </w:rPr>
              <w:t>s</w:t>
            </w:r>
            <w:r w:rsidR="002F2C61" w:rsidRPr="002F2C61">
              <w:rPr>
                <w:rFonts w:eastAsia="Times New Roman" w:cs="Calibri"/>
                <w:color w:val="333333"/>
                <w:kern w:val="0"/>
                <w:szCs w:val="22"/>
                <w:lang w:eastAsia="en-GB"/>
              </w:rPr>
              <w:t>, this role plays a key part in delivering the strategic ambitions of the business; the post-holder will have accountability for</w:t>
            </w:r>
            <w:r w:rsidR="009607F9">
              <w:rPr>
                <w:rFonts w:eastAsia="Times New Roman" w:cs="Calibri"/>
                <w:color w:val="333333"/>
                <w:kern w:val="0"/>
                <w:szCs w:val="22"/>
                <w:lang w:eastAsia="en-GB"/>
              </w:rPr>
              <w:t xml:space="preserve"> managing</w:t>
            </w:r>
            <w:r w:rsidR="002F2C61" w:rsidRPr="002F2C61">
              <w:rPr>
                <w:rFonts w:eastAsia="Times New Roman" w:cs="Calibri"/>
                <w:color w:val="333333"/>
                <w:kern w:val="0"/>
                <w:szCs w:val="22"/>
                <w:lang w:eastAsia="en-GB"/>
              </w:rPr>
              <w:t xml:space="preserve"> commercial performance and be involved in growth, retention, operational delivery, proposition development and pricing.</w:t>
            </w:r>
          </w:p>
          <w:p w14:paraId="6ABB6112" w14:textId="6E06E16F" w:rsidR="003811C8" w:rsidRDefault="00467B46" w:rsidP="007F39BC">
            <w:pPr>
              <w:shd w:val="clear" w:color="auto" w:fill="FFFFFF"/>
              <w:spacing w:after="150"/>
              <w:rPr>
                <w:rFonts w:eastAsia="Times New Roman" w:cs="Calibri"/>
                <w:color w:val="333333"/>
                <w:kern w:val="0"/>
                <w:szCs w:val="22"/>
                <w:lang w:eastAsia="en-GB"/>
              </w:rPr>
            </w:pPr>
            <w:r>
              <w:rPr>
                <w:rFonts w:eastAsia="Times New Roman" w:cs="Calibri"/>
                <w:color w:val="333333"/>
                <w:kern w:val="0"/>
                <w:szCs w:val="22"/>
                <w:lang w:eastAsia="en-GB"/>
              </w:rPr>
              <w:t xml:space="preserve">This is an important </w:t>
            </w:r>
            <w:r w:rsidR="00625748">
              <w:rPr>
                <w:rFonts w:eastAsia="Times New Roman" w:cs="Calibri"/>
                <w:color w:val="333333"/>
                <w:kern w:val="0"/>
                <w:szCs w:val="22"/>
                <w:lang w:eastAsia="en-GB"/>
              </w:rPr>
              <w:t xml:space="preserve">and highly visible </w:t>
            </w:r>
            <w:r>
              <w:rPr>
                <w:rFonts w:eastAsia="Times New Roman" w:cs="Calibri"/>
                <w:color w:val="333333"/>
                <w:kern w:val="0"/>
                <w:szCs w:val="22"/>
                <w:lang w:eastAsia="en-GB"/>
              </w:rPr>
              <w:t>role in a</w:t>
            </w:r>
            <w:r w:rsidR="00DD728D">
              <w:rPr>
                <w:rFonts w:eastAsia="Times New Roman" w:cs="Calibri"/>
                <w:color w:val="333333"/>
                <w:kern w:val="0"/>
                <w:szCs w:val="22"/>
                <w:lang w:eastAsia="en-GB"/>
              </w:rPr>
              <w:t>n ambitious</w:t>
            </w:r>
            <w:r w:rsidR="001760C8">
              <w:rPr>
                <w:rFonts w:eastAsia="Times New Roman" w:cs="Calibri"/>
                <w:color w:val="333333"/>
                <w:kern w:val="0"/>
                <w:szCs w:val="22"/>
                <w:lang w:eastAsia="en-GB"/>
              </w:rPr>
              <w:t>,</w:t>
            </w:r>
            <w:r w:rsidR="00DD728D">
              <w:rPr>
                <w:rFonts w:eastAsia="Times New Roman" w:cs="Calibri"/>
                <w:color w:val="333333"/>
                <w:kern w:val="0"/>
                <w:szCs w:val="22"/>
                <w:lang w:eastAsia="en-GB"/>
              </w:rPr>
              <w:t xml:space="preserve"> growing </w:t>
            </w:r>
            <w:r w:rsidR="001760C8">
              <w:rPr>
                <w:rFonts w:eastAsia="Times New Roman" w:cs="Calibri"/>
                <w:color w:val="333333"/>
                <w:kern w:val="0"/>
                <w:szCs w:val="22"/>
                <w:lang w:eastAsia="en-GB"/>
              </w:rPr>
              <w:t xml:space="preserve">and constantly evolving </w:t>
            </w:r>
            <w:r w:rsidR="00DD728D">
              <w:rPr>
                <w:rFonts w:eastAsia="Times New Roman" w:cs="Calibri"/>
                <w:color w:val="333333"/>
                <w:kern w:val="0"/>
                <w:szCs w:val="22"/>
                <w:lang w:eastAsia="en-GB"/>
              </w:rPr>
              <w:t xml:space="preserve">business, and requires a post-holder with </w:t>
            </w:r>
            <w:r w:rsidR="00625748">
              <w:rPr>
                <w:rFonts w:eastAsia="Times New Roman" w:cs="Calibri"/>
                <w:color w:val="333333"/>
                <w:kern w:val="0"/>
                <w:szCs w:val="22"/>
                <w:lang w:eastAsia="en-GB"/>
              </w:rPr>
              <w:t>the</w:t>
            </w:r>
            <w:r w:rsidR="005D6DB5">
              <w:rPr>
                <w:rFonts w:eastAsia="Times New Roman" w:cs="Calibri"/>
                <w:color w:val="333333"/>
                <w:kern w:val="0"/>
                <w:szCs w:val="22"/>
                <w:lang w:eastAsia="en-GB"/>
              </w:rPr>
              <w:t xml:space="preserve"> </w:t>
            </w:r>
            <w:r w:rsidR="00F767E1">
              <w:rPr>
                <w:rFonts w:eastAsia="Times New Roman" w:cs="Calibri"/>
                <w:color w:val="333333"/>
                <w:kern w:val="0"/>
                <w:szCs w:val="22"/>
                <w:lang w:eastAsia="en-GB"/>
              </w:rPr>
              <w:t xml:space="preserve">drive to make </w:t>
            </w:r>
            <w:r w:rsidR="00DA3AA6">
              <w:rPr>
                <w:rFonts w:eastAsia="Times New Roman" w:cs="Calibri"/>
                <w:color w:val="333333"/>
                <w:kern w:val="0"/>
                <w:szCs w:val="22"/>
                <w:lang w:eastAsia="en-GB"/>
              </w:rPr>
              <w:t xml:space="preserve">a </w:t>
            </w:r>
            <w:r w:rsidR="00F767E1">
              <w:rPr>
                <w:rFonts w:eastAsia="Times New Roman" w:cs="Calibri"/>
                <w:color w:val="333333"/>
                <w:kern w:val="0"/>
                <w:szCs w:val="22"/>
                <w:lang w:eastAsia="en-GB"/>
              </w:rPr>
              <w:t>real impact.</w:t>
            </w:r>
          </w:p>
          <w:p w14:paraId="027DF167" w14:textId="1B431DF0" w:rsidR="006B3454" w:rsidRPr="006B3454" w:rsidRDefault="006B3454" w:rsidP="007F39BC">
            <w:pPr>
              <w:shd w:val="clear" w:color="auto" w:fill="FFFFFF"/>
              <w:spacing w:after="150"/>
              <w:rPr>
                <w:rFonts w:eastAsia="Times New Roman" w:cs="Calibri"/>
                <w:color w:val="333333"/>
                <w:kern w:val="0"/>
                <w:szCs w:val="22"/>
                <w:lang w:eastAsia="en-GB"/>
              </w:rPr>
            </w:pPr>
          </w:p>
        </w:tc>
      </w:tr>
      <w:tr w:rsidR="002F2C61" w14:paraId="3CFD1385" w14:textId="77777777" w:rsidTr="00C074F0">
        <w:tc>
          <w:tcPr>
            <w:tcW w:w="3256" w:type="dxa"/>
            <w:vAlign w:val="center"/>
          </w:tcPr>
          <w:p w14:paraId="627BDC42" w14:textId="3DF91B23" w:rsidR="002F2C61" w:rsidRDefault="002F2C61" w:rsidP="002F2C61">
            <w:pPr>
              <w:spacing w:before="100" w:after="100"/>
            </w:pPr>
            <w:r>
              <w:t>Role and Responsibilities:</w:t>
            </w:r>
          </w:p>
        </w:tc>
        <w:tc>
          <w:tcPr>
            <w:tcW w:w="6706" w:type="dxa"/>
            <w:vAlign w:val="center"/>
          </w:tcPr>
          <w:p w14:paraId="7121AA4B" w14:textId="0779102D" w:rsidR="007F39BC" w:rsidRPr="002F2C61" w:rsidRDefault="007F39BC" w:rsidP="007F39BC">
            <w:pPr>
              <w:shd w:val="clear" w:color="auto" w:fill="FFFFFF"/>
              <w:spacing w:after="150"/>
              <w:rPr>
                <w:rFonts w:eastAsia="Times New Roman" w:cs="Calibri"/>
                <w:color w:val="333333"/>
                <w:kern w:val="0"/>
                <w:szCs w:val="22"/>
                <w:lang w:eastAsia="en-GB"/>
              </w:rPr>
            </w:pPr>
            <w:r w:rsidRPr="002F2C61">
              <w:rPr>
                <w:rFonts w:eastAsia="Times New Roman" w:cs="Calibri"/>
                <w:color w:val="333333"/>
                <w:kern w:val="0"/>
                <w:szCs w:val="22"/>
                <w:lang w:eastAsia="en-GB"/>
              </w:rPr>
              <w:t xml:space="preserve">The post holder will be expected to work alongside </w:t>
            </w:r>
            <w:r w:rsidR="005E504F">
              <w:rPr>
                <w:rFonts w:eastAsia="Times New Roman" w:cs="Calibri"/>
                <w:color w:val="333333"/>
                <w:kern w:val="0"/>
                <w:szCs w:val="22"/>
                <w:lang w:eastAsia="en-GB"/>
              </w:rPr>
              <w:t xml:space="preserve">Operations and </w:t>
            </w:r>
            <w:r w:rsidRPr="002F2C61">
              <w:rPr>
                <w:rFonts w:eastAsia="Times New Roman" w:cs="Calibri"/>
                <w:color w:val="333333"/>
                <w:kern w:val="0"/>
                <w:szCs w:val="22"/>
                <w:lang w:eastAsia="en-GB"/>
              </w:rPr>
              <w:t xml:space="preserve">Service Leads with responsibility </w:t>
            </w:r>
            <w:commentRangeStart w:id="1"/>
            <w:r w:rsidRPr="002F2C61">
              <w:rPr>
                <w:rFonts w:eastAsia="Times New Roman" w:cs="Calibri"/>
                <w:color w:val="333333"/>
                <w:kern w:val="0"/>
                <w:szCs w:val="22"/>
                <w:lang w:eastAsia="en-GB"/>
              </w:rPr>
              <w:t>for</w:t>
            </w:r>
            <w:commentRangeEnd w:id="1"/>
            <w:r w:rsidR="00947FBA">
              <w:rPr>
                <w:rStyle w:val="CommentReference"/>
                <w:rFonts w:cs="Times New Roman"/>
              </w:rPr>
              <w:commentReference w:id="1"/>
            </w:r>
            <w:r w:rsidRPr="002F2C61">
              <w:rPr>
                <w:rFonts w:eastAsia="Times New Roman" w:cs="Calibri"/>
                <w:color w:val="333333"/>
                <w:kern w:val="0"/>
                <w:szCs w:val="22"/>
                <w:lang w:eastAsia="en-GB"/>
              </w:rPr>
              <w:t>:</w:t>
            </w:r>
          </w:p>
          <w:p w14:paraId="338EFE40" w14:textId="091E2D01" w:rsidR="007F39BC" w:rsidRPr="002F2C61" w:rsidRDefault="007F39BC" w:rsidP="000156C7">
            <w:pPr>
              <w:pStyle w:val="BulletListDense"/>
              <w:numPr>
                <w:ilvl w:val="0"/>
                <w:numId w:val="32"/>
              </w:numPr>
              <w:rPr>
                <w:rFonts w:cs="Calibri"/>
                <w:szCs w:val="22"/>
              </w:rPr>
            </w:pPr>
            <w:r w:rsidRPr="002F2C61">
              <w:rPr>
                <w:rFonts w:cs="Calibri"/>
                <w:szCs w:val="22"/>
              </w:rPr>
              <w:lastRenderedPageBreak/>
              <w:t>Financial performance of all service</w:t>
            </w:r>
            <w:r w:rsidR="00816548">
              <w:rPr>
                <w:rFonts w:cs="Calibri"/>
                <w:szCs w:val="22"/>
              </w:rPr>
              <w:t xml:space="preserve">s in the Business </w:t>
            </w:r>
            <w:r w:rsidR="00625748">
              <w:rPr>
                <w:rFonts w:cs="Calibri"/>
                <w:szCs w:val="22"/>
              </w:rPr>
              <w:t>Area driven by an intimate understanding of all operational performance metrics</w:t>
            </w:r>
            <w:commentRangeStart w:id="2"/>
            <w:commentRangeEnd w:id="2"/>
            <w:r w:rsidR="00C95E26">
              <w:rPr>
                <w:rStyle w:val="CommentReference"/>
                <w:rFonts w:cs="Times New Roman"/>
              </w:rPr>
              <w:commentReference w:id="2"/>
            </w:r>
          </w:p>
          <w:p w14:paraId="0FBCB299" w14:textId="77777777" w:rsidR="007F39BC" w:rsidRPr="002F2C61" w:rsidRDefault="007F39BC" w:rsidP="000156C7">
            <w:pPr>
              <w:pStyle w:val="BulletListDense"/>
              <w:numPr>
                <w:ilvl w:val="0"/>
                <w:numId w:val="32"/>
              </w:numPr>
              <w:rPr>
                <w:rFonts w:cs="Calibri"/>
                <w:szCs w:val="22"/>
              </w:rPr>
            </w:pPr>
            <w:r w:rsidRPr="002F2C61">
              <w:rPr>
                <w:rFonts w:cs="Calibri"/>
                <w:szCs w:val="22"/>
              </w:rPr>
              <w:t>Identification and implementation of mechanisms that drive improved efficiency and profitability</w:t>
            </w:r>
          </w:p>
          <w:p w14:paraId="551C46C9" w14:textId="0B4D6DC0" w:rsidR="007F39BC" w:rsidRPr="002F2C61" w:rsidRDefault="007F39BC" w:rsidP="000156C7">
            <w:pPr>
              <w:pStyle w:val="BulletListDense"/>
              <w:numPr>
                <w:ilvl w:val="0"/>
                <w:numId w:val="32"/>
              </w:numPr>
              <w:rPr>
                <w:rFonts w:cs="Calibri"/>
                <w:szCs w:val="22"/>
              </w:rPr>
            </w:pPr>
            <w:r w:rsidRPr="002F2C61">
              <w:rPr>
                <w:rFonts w:cs="Calibri"/>
                <w:szCs w:val="22"/>
              </w:rPr>
              <w:t xml:space="preserve">Actively shaping </w:t>
            </w:r>
            <w:r w:rsidR="00625748">
              <w:rPr>
                <w:rFonts w:cs="Calibri"/>
                <w:szCs w:val="22"/>
              </w:rPr>
              <w:t>the</w:t>
            </w:r>
            <w:r w:rsidRPr="002F2C61">
              <w:rPr>
                <w:rFonts w:cs="Calibri"/>
                <w:szCs w:val="22"/>
              </w:rPr>
              <w:t xml:space="preserve"> direction of the </w:t>
            </w:r>
            <w:r w:rsidR="00816548">
              <w:rPr>
                <w:rFonts w:cs="Calibri"/>
                <w:szCs w:val="22"/>
              </w:rPr>
              <w:t>Business</w:t>
            </w:r>
            <w:r w:rsidRPr="002F2C61">
              <w:rPr>
                <w:rFonts w:cs="Calibri"/>
                <w:szCs w:val="22"/>
              </w:rPr>
              <w:t xml:space="preserve"> </w:t>
            </w:r>
            <w:r w:rsidR="00EF35D7">
              <w:rPr>
                <w:rFonts w:cs="Calibri"/>
                <w:szCs w:val="22"/>
              </w:rPr>
              <w:t>Area</w:t>
            </w:r>
            <w:r w:rsidRPr="002F2C61">
              <w:rPr>
                <w:rFonts w:cs="Calibri"/>
                <w:szCs w:val="22"/>
              </w:rPr>
              <w:t>, with the ability to support this through sound logic and financial analysis</w:t>
            </w:r>
          </w:p>
          <w:p w14:paraId="169A5626" w14:textId="221912CF" w:rsidR="00EF4F2E" w:rsidRDefault="007F39BC" w:rsidP="000156C7">
            <w:pPr>
              <w:pStyle w:val="BulletListDense"/>
              <w:numPr>
                <w:ilvl w:val="0"/>
                <w:numId w:val="32"/>
              </w:numPr>
              <w:rPr>
                <w:rFonts w:cs="Calibri"/>
                <w:szCs w:val="22"/>
              </w:rPr>
            </w:pPr>
            <w:r w:rsidRPr="002F2C61">
              <w:rPr>
                <w:rFonts w:cs="Calibri"/>
                <w:szCs w:val="22"/>
              </w:rPr>
              <w:t xml:space="preserve">Creating, </w:t>
            </w:r>
            <w:r w:rsidR="00D85D5F" w:rsidRPr="002F2C61">
              <w:rPr>
                <w:rFonts w:cs="Calibri"/>
                <w:szCs w:val="22"/>
              </w:rPr>
              <w:t>maintaining,</w:t>
            </w:r>
            <w:r w:rsidRPr="002F2C61">
              <w:rPr>
                <w:rFonts w:cs="Calibri"/>
                <w:szCs w:val="22"/>
              </w:rPr>
              <w:t xml:space="preserve"> and delivering robust forecasts and budgets, along with ensuring management accounts accurately reflect our commercial position</w:t>
            </w:r>
          </w:p>
          <w:p w14:paraId="665B0BC4" w14:textId="18913B3D" w:rsidR="002F2C61" w:rsidRDefault="007F39BC" w:rsidP="000156C7">
            <w:pPr>
              <w:pStyle w:val="BulletListDense"/>
              <w:numPr>
                <w:ilvl w:val="0"/>
                <w:numId w:val="32"/>
              </w:numPr>
              <w:rPr>
                <w:rFonts w:cs="Calibri"/>
                <w:szCs w:val="22"/>
              </w:rPr>
            </w:pPr>
            <w:r w:rsidRPr="004F0A07">
              <w:rPr>
                <w:rFonts w:cs="Calibri"/>
                <w:szCs w:val="22"/>
              </w:rPr>
              <w:t>Undertaking proactive analysis of the key drivers of performance that underpin profitability of the Market Unit</w:t>
            </w:r>
          </w:p>
          <w:p w14:paraId="505BEED7" w14:textId="2DFAB479" w:rsidR="00EC3EE2" w:rsidRPr="00EF4F2E" w:rsidRDefault="00404DC7" w:rsidP="000156C7">
            <w:pPr>
              <w:pStyle w:val="BulletListDense"/>
              <w:numPr>
                <w:ilvl w:val="0"/>
                <w:numId w:val="32"/>
              </w:numPr>
              <w:rPr>
                <w:rFonts w:cs="Calibri"/>
                <w:szCs w:val="22"/>
              </w:rPr>
            </w:pPr>
            <w:r>
              <w:rPr>
                <w:rFonts w:cs="Calibri"/>
                <w:szCs w:val="22"/>
              </w:rPr>
              <w:t xml:space="preserve">Clear communication and articulation of business performance </w:t>
            </w:r>
            <w:r w:rsidR="00F2309C">
              <w:rPr>
                <w:rFonts w:cs="Calibri"/>
                <w:szCs w:val="22"/>
              </w:rPr>
              <w:t>to both finance and the wider business to aid understanding and drive action</w:t>
            </w:r>
          </w:p>
          <w:p w14:paraId="4DDF4B13" w14:textId="77777777" w:rsidR="002F2C61" w:rsidRPr="006B3454" w:rsidRDefault="002F2C61" w:rsidP="002F2C61">
            <w:pPr>
              <w:rPr>
                <w:rFonts w:cs="Calibri"/>
                <w:szCs w:val="22"/>
              </w:rPr>
            </w:pPr>
          </w:p>
          <w:p w14:paraId="5BBEF407" w14:textId="77777777" w:rsidR="006B3454" w:rsidRPr="006B3454" w:rsidRDefault="006B3454" w:rsidP="006B3454">
            <w:pPr>
              <w:shd w:val="clear" w:color="auto" w:fill="FFFFFF"/>
              <w:spacing w:after="150"/>
              <w:rPr>
                <w:rFonts w:eastAsia="Times New Roman" w:cs="Calibri"/>
                <w:color w:val="333333"/>
                <w:kern w:val="0"/>
                <w:szCs w:val="22"/>
                <w:lang w:eastAsia="en-GB"/>
              </w:rPr>
            </w:pPr>
            <w:r w:rsidRPr="006B3454">
              <w:rPr>
                <w:rFonts w:eastAsia="Times New Roman" w:cs="Calibri"/>
                <w:b/>
                <w:bCs/>
                <w:color w:val="333333"/>
                <w:kern w:val="0"/>
                <w:szCs w:val="22"/>
                <w:lang w:eastAsia="en-GB"/>
              </w:rPr>
              <w:t>Accountabilities:</w:t>
            </w:r>
          </w:p>
          <w:p w14:paraId="591ADDBC" w14:textId="6A316C94" w:rsidR="00625748" w:rsidRPr="00625748" w:rsidRDefault="006B3454" w:rsidP="000156C7">
            <w:pPr>
              <w:pStyle w:val="BulletListDense"/>
              <w:numPr>
                <w:ilvl w:val="0"/>
                <w:numId w:val="33"/>
              </w:numPr>
            </w:pPr>
            <w:r w:rsidRPr="006B3454">
              <w:t>Ownership of month end results</w:t>
            </w:r>
            <w:r w:rsidR="00625748">
              <w:t xml:space="preserve"> and all aspects of financial performance</w:t>
            </w:r>
            <w:r w:rsidRPr="006B3454">
              <w:t xml:space="preserve">, ensuring reported results reflect activity and interpretation </w:t>
            </w:r>
            <w:r w:rsidR="000D5675">
              <w:t xml:space="preserve">of </w:t>
            </w:r>
            <w:r w:rsidRPr="006B3454">
              <w:t xml:space="preserve">results is consistently understood by key </w:t>
            </w:r>
            <w:commentRangeStart w:id="3"/>
            <w:r w:rsidRPr="006B3454">
              <w:t>stakeholders</w:t>
            </w:r>
            <w:commentRangeEnd w:id="3"/>
            <w:r w:rsidR="00933AA0">
              <w:rPr>
                <w:rStyle w:val="CommentReference"/>
                <w:rFonts w:cs="Times New Roman"/>
              </w:rPr>
              <w:commentReference w:id="3"/>
            </w:r>
          </w:p>
          <w:p w14:paraId="0F045BC7" w14:textId="5C86B254" w:rsidR="006B3454" w:rsidRPr="006B3454" w:rsidRDefault="006B3454" w:rsidP="000156C7">
            <w:pPr>
              <w:pStyle w:val="BulletListDense"/>
              <w:numPr>
                <w:ilvl w:val="0"/>
                <w:numId w:val="33"/>
              </w:numPr>
            </w:pPr>
            <w:r w:rsidRPr="006B3454">
              <w:t xml:space="preserve">Through deep understanding of profitability across each service, identify risks, </w:t>
            </w:r>
            <w:r w:rsidR="00D85D5F" w:rsidRPr="006B3454">
              <w:t>opportunities,</w:t>
            </w:r>
            <w:r w:rsidRPr="006B3454">
              <w:t xml:space="preserve"> and drive actions to improve commercial outcomes</w:t>
            </w:r>
          </w:p>
          <w:p w14:paraId="35418B7B" w14:textId="148B67CB" w:rsidR="006B3454" w:rsidRPr="006B3454" w:rsidRDefault="006B3454" w:rsidP="000156C7">
            <w:pPr>
              <w:pStyle w:val="BulletListDense"/>
              <w:numPr>
                <w:ilvl w:val="0"/>
                <w:numId w:val="33"/>
              </w:numPr>
            </w:pPr>
            <w:r w:rsidRPr="006B3454">
              <w:t xml:space="preserve">Undertake detailed analysis and scenario planning, working with </w:t>
            </w:r>
            <w:r w:rsidR="003D105B">
              <w:t xml:space="preserve">Operations Directors, </w:t>
            </w:r>
            <w:r w:rsidRPr="006B3454">
              <w:t xml:space="preserve">Service Leads and other key stakeholders to shape direction of the </w:t>
            </w:r>
            <w:r w:rsidR="00944D2B">
              <w:t xml:space="preserve">Business </w:t>
            </w:r>
            <w:r w:rsidR="004430B5">
              <w:t>Area</w:t>
            </w:r>
          </w:p>
          <w:p w14:paraId="2E90AB47" w14:textId="5CD9BB37" w:rsidR="006B3454" w:rsidRPr="006B3454" w:rsidRDefault="006B3454" w:rsidP="000156C7">
            <w:pPr>
              <w:pStyle w:val="BulletListDense"/>
              <w:numPr>
                <w:ilvl w:val="0"/>
                <w:numId w:val="33"/>
              </w:numPr>
            </w:pPr>
            <w:r w:rsidRPr="006B3454">
              <w:t>Deliver/support new business pricing, ensuring a balance between short-term profitability and long-term strategic opportunity</w:t>
            </w:r>
          </w:p>
          <w:p w14:paraId="7F07821B" w14:textId="77777777" w:rsidR="006B3454" w:rsidRPr="006B3454" w:rsidRDefault="006B3454" w:rsidP="000156C7">
            <w:pPr>
              <w:pStyle w:val="BulletListDense"/>
              <w:numPr>
                <w:ilvl w:val="0"/>
                <w:numId w:val="33"/>
              </w:numPr>
            </w:pPr>
            <w:r w:rsidRPr="006B3454">
              <w:t>Track new business performance against assumptions from bid stage, ensuring maximum value is leveraged and learnings fed back in to bid/new business teams</w:t>
            </w:r>
          </w:p>
          <w:p w14:paraId="5E17324E" w14:textId="4097C97B" w:rsidR="006B3454" w:rsidRPr="006B3454" w:rsidRDefault="006B3454" w:rsidP="000156C7">
            <w:pPr>
              <w:pStyle w:val="BulletListDense"/>
              <w:numPr>
                <w:ilvl w:val="0"/>
                <w:numId w:val="33"/>
              </w:numPr>
            </w:pPr>
            <w:r w:rsidRPr="006B3454">
              <w:t xml:space="preserve">Collaborate with </w:t>
            </w:r>
            <w:r w:rsidR="00E46CD0">
              <w:t xml:space="preserve">business </w:t>
            </w:r>
            <w:r w:rsidRPr="006B3454">
              <w:t>to implement new propositions at service and customer level, embed these within BAU</w:t>
            </w:r>
          </w:p>
          <w:p w14:paraId="3AF1B4C6" w14:textId="77777777" w:rsidR="006B3454" w:rsidRPr="006B3454" w:rsidRDefault="006B3454" w:rsidP="000156C7">
            <w:pPr>
              <w:pStyle w:val="BulletListDense"/>
              <w:numPr>
                <w:ilvl w:val="0"/>
                <w:numId w:val="33"/>
              </w:numPr>
            </w:pPr>
            <w:r w:rsidRPr="006B3454">
              <w:t>Ensure implementation of transformation projects are delivered on-time, on-cost, with expected benefits realised</w:t>
            </w:r>
          </w:p>
          <w:p w14:paraId="65B0F2FC" w14:textId="77777777" w:rsidR="006B3454" w:rsidRPr="006B3454" w:rsidRDefault="006B3454" w:rsidP="000156C7">
            <w:pPr>
              <w:pStyle w:val="BulletListDense"/>
              <w:numPr>
                <w:ilvl w:val="0"/>
                <w:numId w:val="33"/>
              </w:numPr>
            </w:pPr>
            <w:r w:rsidRPr="006B3454">
              <w:t>Maintain trading outlook, ensuring decision making supports delivery of financial targets</w:t>
            </w:r>
          </w:p>
          <w:p w14:paraId="50668C55" w14:textId="77777777" w:rsidR="006B3454" w:rsidRDefault="006B3454" w:rsidP="000156C7">
            <w:pPr>
              <w:pStyle w:val="BulletListDense"/>
              <w:numPr>
                <w:ilvl w:val="0"/>
                <w:numId w:val="34"/>
              </w:numPr>
            </w:pPr>
            <w:r w:rsidRPr="006B3454">
              <w:t>Deliver annual budgets and rolling forecasts to ensure operational activity targets reflect changing trading conditions and business goals</w:t>
            </w:r>
          </w:p>
          <w:p w14:paraId="378DC1C1" w14:textId="79373DEA" w:rsidR="00DD7131" w:rsidRPr="006B3454" w:rsidRDefault="00CE1096" w:rsidP="000156C7">
            <w:pPr>
              <w:pStyle w:val="BulletListDense"/>
              <w:numPr>
                <w:ilvl w:val="0"/>
                <w:numId w:val="34"/>
              </w:numPr>
            </w:pPr>
            <w:r>
              <w:lastRenderedPageBreak/>
              <w:t xml:space="preserve">Support the wider Finance team in </w:t>
            </w:r>
            <w:r w:rsidR="00BB2F43">
              <w:t xml:space="preserve">driving best practice and role modelling high performance behaviours </w:t>
            </w:r>
            <w:r w:rsidR="009C74BA">
              <w:t xml:space="preserve">as </w:t>
            </w:r>
            <w:r w:rsidR="00FE1D73">
              <w:t xml:space="preserve">the </w:t>
            </w:r>
            <w:r w:rsidR="009C74BA">
              <w:t xml:space="preserve">key </w:t>
            </w:r>
            <w:r w:rsidR="00FE1D73">
              <w:t xml:space="preserve">point of </w:t>
            </w:r>
            <w:r w:rsidR="009C74BA">
              <w:t xml:space="preserve">support </w:t>
            </w:r>
            <w:r w:rsidR="00FE1D73">
              <w:t xml:space="preserve">for </w:t>
            </w:r>
            <w:r w:rsidR="009C74BA">
              <w:t>the Commercial Finance Director</w:t>
            </w:r>
          </w:p>
          <w:p w14:paraId="09226A1B" w14:textId="77777777" w:rsidR="006B3454" w:rsidRPr="006B3454" w:rsidRDefault="006B3454" w:rsidP="000156C7">
            <w:pPr>
              <w:pStyle w:val="BulletListDense"/>
              <w:numPr>
                <w:ilvl w:val="0"/>
                <w:numId w:val="34"/>
              </w:numPr>
            </w:pPr>
            <w:r w:rsidRPr="006B3454">
              <w:t>Any other reasonable duties as required</w:t>
            </w:r>
          </w:p>
          <w:p w14:paraId="44BDB607" w14:textId="7538B34A" w:rsidR="002F2C61" w:rsidRPr="006B3454" w:rsidRDefault="002F2C61" w:rsidP="002F2C61">
            <w:pPr>
              <w:spacing w:before="100" w:after="100"/>
              <w:rPr>
                <w:rFonts w:cs="Calibri"/>
                <w:szCs w:val="22"/>
              </w:rPr>
            </w:pPr>
          </w:p>
        </w:tc>
      </w:tr>
      <w:tr w:rsidR="002F2C61" w14:paraId="01882A7A" w14:textId="77777777" w:rsidTr="00C074F0">
        <w:tc>
          <w:tcPr>
            <w:tcW w:w="3256" w:type="dxa"/>
            <w:vAlign w:val="center"/>
          </w:tcPr>
          <w:p w14:paraId="57B89986" w14:textId="29BAB234" w:rsidR="002F2C61" w:rsidRDefault="002F2C61" w:rsidP="002F2C61">
            <w:pPr>
              <w:spacing w:before="100" w:after="100"/>
            </w:pPr>
            <w:r>
              <w:lastRenderedPageBreak/>
              <w:t>Clinical Governance:</w:t>
            </w:r>
          </w:p>
          <w:p w14:paraId="53E29B26" w14:textId="1892EDC7" w:rsidR="002F2C61" w:rsidRDefault="002F2C61" w:rsidP="002F2C61">
            <w:pPr>
              <w:spacing w:before="100" w:after="100"/>
            </w:pPr>
            <w:r>
              <w:t>(where applicable)</w:t>
            </w:r>
          </w:p>
        </w:tc>
        <w:tc>
          <w:tcPr>
            <w:tcW w:w="6706" w:type="dxa"/>
            <w:vAlign w:val="center"/>
          </w:tcPr>
          <w:p w14:paraId="3766E5BC" w14:textId="37055A20" w:rsidR="002F2C61" w:rsidRDefault="006B3454" w:rsidP="002F2C61">
            <w:pPr>
              <w:spacing w:before="100" w:after="100"/>
            </w:pPr>
            <w:r>
              <w:t>N/A</w:t>
            </w:r>
          </w:p>
        </w:tc>
      </w:tr>
      <w:tr w:rsidR="002F2C61" w14:paraId="3161C07B" w14:textId="77777777" w:rsidTr="00C074F0">
        <w:tc>
          <w:tcPr>
            <w:tcW w:w="3256" w:type="dxa"/>
            <w:vAlign w:val="center"/>
          </w:tcPr>
          <w:p w14:paraId="5FD2413E" w14:textId="7A534F40" w:rsidR="002F2C61" w:rsidRDefault="002F2C61" w:rsidP="002F2C61">
            <w:pPr>
              <w:spacing w:before="100" w:after="100"/>
            </w:pPr>
            <w:r>
              <w:t>Training and supervision:</w:t>
            </w:r>
          </w:p>
        </w:tc>
        <w:tc>
          <w:tcPr>
            <w:tcW w:w="6706" w:type="dxa"/>
            <w:vAlign w:val="center"/>
          </w:tcPr>
          <w:p w14:paraId="201DC6D6" w14:textId="70ADBAB8" w:rsidR="002F2C61" w:rsidRPr="009F68CA" w:rsidRDefault="002F2C61" w:rsidP="002F2C61">
            <w:pPr>
              <w:pStyle w:val="ListParagraph"/>
              <w:spacing w:before="100" w:after="100"/>
            </w:pPr>
          </w:p>
        </w:tc>
      </w:tr>
      <w:tr w:rsidR="002F2C61" w14:paraId="4004EF95" w14:textId="77777777" w:rsidTr="00C074F0">
        <w:tc>
          <w:tcPr>
            <w:tcW w:w="3256" w:type="dxa"/>
            <w:vAlign w:val="center"/>
          </w:tcPr>
          <w:p w14:paraId="0E220621" w14:textId="69144CB3" w:rsidR="002F2C61" w:rsidRDefault="002F2C61" w:rsidP="002F2C61">
            <w:pPr>
              <w:spacing w:before="100" w:after="100"/>
            </w:pPr>
            <w:r>
              <w:t>Additional information:</w:t>
            </w:r>
          </w:p>
        </w:tc>
        <w:tc>
          <w:tcPr>
            <w:tcW w:w="6706" w:type="dxa"/>
            <w:vAlign w:val="center"/>
          </w:tcPr>
          <w:p w14:paraId="4A51D27D" w14:textId="19495B07" w:rsidR="002F2C61" w:rsidRPr="00966F66" w:rsidRDefault="00E40E06" w:rsidP="002F2C61">
            <w:pPr>
              <w:spacing w:before="100" w:after="100"/>
              <w:rPr>
                <w:color w:val="000000"/>
              </w:rPr>
            </w:pPr>
            <w:r>
              <w:rPr>
                <w:color w:val="000000"/>
              </w:rPr>
              <w:t>T</w:t>
            </w:r>
            <w:r w:rsidR="006B3454" w:rsidRPr="00194432">
              <w:rPr>
                <w:color w:val="000000"/>
              </w:rPr>
              <w:t>ravel including overnight stays</w:t>
            </w:r>
            <w:r>
              <w:rPr>
                <w:color w:val="000000"/>
              </w:rPr>
              <w:t xml:space="preserve"> required</w:t>
            </w:r>
            <w:r w:rsidR="006B3454" w:rsidRPr="00194432">
              <w:rPr>
                <w:color w:val="000000"/>
              </w:rPr>
              <w:t>, so a full clean driving licence is desired.</w:t>
            </w:r>
          </w:p>
        </w:tc>
      </w:tr>
    </w:tbl>
    <w:p w14:paraId="5895883D" w14:textId="77777777" w:rsidR="00DE2250" w:rsidRDefault="00DE2250" w:rsidP="00966F66">
      <w:pPr>
        <w:pStyle w:val="Heading2"/>
      </w:pPr>
    </w:p>
    <w:p w14:paraId="20432309" w14:textId="77777777" w:rsidR="00DE2250" w:rsidRDefault="00DE2250">
      <w:pPr>
        <w:spacing w:after="200"/>
        <w:rPr>
          <w:b/>
          <w:color w:val="00A7CF"/>
          <w:sz w:val="28"/>
        </w:rPr>
      </w:pPr>
      <w:r>
        <w:br w:type="page"/>
      </w:r>
    </w:p>
    <w:p w14:paraId="6F579091" w14:textId="7B98640C"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05"/>
        <w:gridCol w:w="3827"/>
        <w:gridCol w:w="3728"/>
      </w:tblGrid>
      <w:tr w:rsidR="00966F66" w:rsidRPr="00966F66" w14:paraId="63917455" w14:textId="77777777" w:rsidTr="00C074F0">
        <w:tc>
          <w:tcPr>
            <w:tcW w:w="2405" w:type="dxa"/>
            <w:shd w:val="clear" w:color="auto" w:fill="FFFFFF" w:themeFill="background1"/>
          </w:tcPr>
          <w:p w14:paraId="45D68BD3" w14:textId="77777777" w:rsidR="00966F66" w:rsidRPr="00966F66" w:rsidRDefault="00966F66" w:rsidP="00C8521C">
            <w:pPr>
              <w:spacing w:beforeLines="80" w:before="192" w:afterLines="80" w:after="192"/>
              <w:ind w:firstLine="720"/>
              <w:rPr>
                <w:rFonts w:cs="Calibri"/>
                <w:b/>
                <w:bCs/>
                <w:color w:val="FFFFFF" w:themeColor="background1"/>
                <w:szCs w:val="22"/>
              </w:rPr>
            </w:pPr>
          </w:p>
        </w:tc>
        <w:tc>
          <w:tcPr>
            <w:tcW w:w="3827" w:type="dxa"/>
            <w:shd w:val="clear" w:color="auto" w:fill="008B96"/>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8B96"/>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C074F0">
        <w:tc>
          <w:tcPr>
            <w:tcW w:w="2405" w:type="dxa"/>
            <w:shd w:val="clear" w:color="auto" w:fill="008B96"/>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shd w:val="clear" w:color="auto" w:fill="F2F2F2" w:themeFill="background1" w:themeFillShade="F2"/>
          </w:tcPr>
          <w:p w14:paraId="4315561D" w14:textId="15576BD3" w:rsidR="00966F66" w:rsidRPr="000C043E" w:rsidRDefault="000C043E" w:rsidP="000C043E">
            <w:pPr>
              <w:spacing w:beforeLines="100" w:before="240" w:afterLines="100" w:after="240"/>
              <w:rPr>
                <w:rFonts w:cs="Calibri"/>
                <w:szCs w:val="22"/>
              </w:rPr>
            </w:pPr>
            <w:r w:rsidRPr="000C043E">
              <w:rPr>
                <w:rFonts w:cs="Calibri"/>
                <w:kern w:val="0"/>
                <w:szCs w:val="22"/>
              </w:rPr>
              <w:t xml:space="preserve">Formal accountancy qualification (ACCA, CIMA) with at least </w:t>
            </w:r>
            <w:r w:rsidR="00F64F42">
              <w:rPr>
                <w:rFonts w:cs="Calibri"/>
                <w:kern w:val="0"/>
                <w:szCs w:val="22"/>
              </w:rPr>
              <w:t>10</w:t>
            </w:r>
            <w:r w:rsidRPr="000C043E">
              <w:rPr>
                <w:rFonts w:cs="Calibri"/>
                <w:kern w:val="0"/>
                <w:szCs w:val="22"/>
              </w:rPr>
              <w:t xml:space="preserve"> years post-qualified experience</w:t>
            </w:r>
          </w:p>
        </w:tc>
        <w:tc>
          <w:tcPr>
            <w:tcW w:w="3728" w:type="dxa"/>
            <w:shd w:val="clear" w:color="auto" w:fill="F2F2F2" w:themeFill="background1" w:themeFillShade="F2"/>
          </w:tcPr>
          <w:p w14:paraId="7C707955" w14:textId="77777777" w:rsidR="000C043E" w:rsidRDefault="000C043E" w:rsidP="000C043E">
            <w:pPr>
              <w:rPr>
                <w:rFonts w:cs="Calibri"/>
                <w:szCs w:val="22"/>
              </w:rPr>
            </w:pPr>
          </w:p>
          <w:p w14:paraId="249563A3" w14:textId="257CA272" w:rsidR="00966F66" w:rsidRPr="00C06568" w:rsidRDefault="000C043E" w:rsidP="00C06568">
            <w:pPr>
              <w:rPr>
                <w:rFonts w:cs="Calibri"/>
                <w:szCs w:val="22"/>
              </w:rPr>
            </w:pPr>
            <w:r>
              <w:rPr>
                <w:rFonts w:cs="Calibri"/>
                <w:szCs w:val="22"/>
              </w:rPr>
              <w:t>University degree such as BA (Hons) or BSc</w:t>
            </w:r>
          </w:p>
        </w:tc>
      </w:tr>
      <w:tr w:rsidR="00966F66" w14:paraId="510D568C" w14:textId="77777777" w:rsidTr="00C00444">
        <w:trPr>
          <w:trHeight w:val="5628"/>
        </w:trPr>
        <w:tc>
          <w:tcPr>
            <w:tcW w:w="2405" w:type="dxa"/>
            <w:shd w:val="clear" w:color="auto" w:fill="008B96"/>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shd w:val="clear" w:color="auto" w:fill="F2F2F2" w:themeFill="background1" w:themeFillShade="F2"/>
          </w:tcPr>
          <w:p w14:paraId="345631C6" w14:textId="77777777" w:rsidR="00C06568" w:rsidRDefault="00C06568" w:rsidP="000C043E">
            <w:pPr>
              <w:rPr>
                <w:rFonts w:cs="Calibri"/>
                <w:szCs w:val="22"/>
              </w:rPr>
            </w:pPr>
          </w:p>
          <w:p w14:paraId="62DA6E5E" w14:textId="371FEADE" w:rsidR="000C043E" w:rsidRDefault="000C043E" w:rsidP="000C043E">
            <w:pPr>
              <w:rPr>
                <w:rFonts w:cs="Calibri"/>
                <w:szCs w:val="22"/>
              </w:rPr>
            </w:pPr>
            <w:r>
              <w:rPr>
                <w:rFonts w:cs="Calibri"/>
                <w:szCs w:val="22"/>
              </w:rPr>
              <w:t>Experience of working in a dynamic environment in a finance function</w:t>
            </w:r>
          </w:p>
          <w:p w14:paraId="26BCD36C" w14:textId="77777777" w:rsidR="002D7DF3" w:rsidRDefault="002D7DF3" w:rsidP="000C043E">
            <w:pPr>
              <w:rPr>
                <w:rFonts w:cs="Calibri"/>
                <w:szCs w:val="22"/>
              </w:rPr>
            </w:pPr>
          </w:p>
          <w:p w14:paraId="59C82CEC" w14:textId="103B3455" w:rsidR="003811C8" w:rsidRDefault="00C774C2" w:rsidP="003811C8">
            <w:pPr>
              <w:rPr>
                <w:rFonts w:cs="Calibri"/>
                <w:szCs w:val="22"/>
              </w:rPr>
            </w:pPr>
            <w:r>
              <w:rPr>
                <w:rFonts w:cs="Calibri"/>
                <w:szCs w:val="22"/>
              </w:rPr>
              <w:t xml:space="preserve">Experience operating in multi-disciplinary teams </w:t>
            </w:r>
            <w:r w:rsidR="000D6A43">
              <w:rPr>
                <w:rFonts w:cs="Calibri"/>
                <w:szCs w:val="22"/>
              </w:rPr>
              <w:t xml:space="preserve">which </w:t>
            </w:r>
            <w:r w:rsidR="00217313">
              <w:rPr>
                <w:rFonts w:cs="Calibri"/>
                <w:szCs w:val="22"/>
              </w:rPr>
              <w:t xml:space="preserve">require </w:t>
            </w:r>
            <w:r w:rsidR="002C327B">
              <w:rPr>
                <w:rFonts w:cs="Calibri"/>
                <w:szCs w:val="22"/>
              </w:rPr>
              <w:t xml:space="preserve">recognition and </w:t>
            </w:r>
            <w:r w:rsidR="00217313">
              <w:rPr>
                <w:rFonts w:cs="Calibri"/>
                <w:szCs w:val="22"/>
              </w:rPr>
              <w:t xml:space="preserve">understanding of </w:t>
            </w:r>
            <w:r w:rsidR="00C410EB">
              <w:rPr>
                <w:rFonts w:cs="Calibri"/>
                <w:szCs w:val="22"/>
              </w:rPr>
              <w:t xml:space="preserve">business-wide </w:t>
            </w:r>
            <w:r w:rsidR="00217313">
              <w:rPr>
                <w:rFonts w:cs="Calibri"/>
                <w:szCs w:val="22"/>
              </w:rPr>
              <w:t>capabilities</w:t>
            </w:r>
            <w:r w:rsidR="003811C8">
              <w:rPr>
                <w:rFonts w:cs="Calibri"/>
                <w:szCs w:val="22"/>
              </w:rPr>
              <w:t>/priorities</w:t>
            </w:r>
          </w:p>
          <w:p w14:paraId="485BE5D6" w14:textId="77777777" w:rsidR="00C00444" w:rsidRDefault="00C00444" w:rsidP="003811C8">
            <w:pPr>
              <w:rPr>
                <w:rFonts w:cs="Calibri"/>
                <w:szCs w:val="22"/>
              </w:rPr>
            </w:pPr>
          </w:p>
          <w:p w14:paraId="096AEC75" w14:textId="448250FA" w:rsidR="00BA4083" w:rsidRDefault="00BA4083" w:rsidP="003811C8">
            <w:pPr>
              <w:rPr>
                <w:rFonts w:cs="Calibri"/>
                <w:szCs w:val="22"/>
              </w:rPr>
            </w:pPr>
            <w:r>
              <w:rPr>
                <w:rFonts w:cs="Calibri"/>
                <w:szCs w:val="22"/>
              </w:rPr>
              <w:t xml:space="preserve">Leading Commercial Finance teams, </w:t>
            </w:r>
            <w:r w:rsidR="00842BB5">
              <w:rPr>
                <w:rFonts w:cs="Calibri"/>
                <w:szCs w:val="22"/>
              </w:rPr>
              <w:t xml:space="preserve">coaching and developing team members </w:t>
            </w:r>
            <w:r w:rsidR="00C83205">
              <w:rPr>
                <w:rFonts w:cs="Calibri"/>
                <w:szCs w:val="22"/>
              </w:rPr>
              <w:t>to high performance</w:t>
            </w:r>
          </w:p>
          <w:p w14:paraId="18EB9DEB" w14:textId="77777777" w:rsidR="00BA4083" w:rsidRDefault="00BA4083" w:rsidP="003811C8">
            <w:pPr>
              <w:rPr>
                <w:rFonts w:cs="Calibri"/>
                <w:szCs w:val="22"/>
              </w:rPr>
            </w:pPr>
          </w:p>
          <w:p w14:paraId="3B562B01" w14:textId="49228D50" w:rsidR="008302D6" w:rsidRPr="000C043E" w:rsidRDefault="00715D76" w:rsidP="0005530F">
            <w:pPr>
              <w:rPr>
                <w:rFonts w:cs="Calibri"/>
                <w:szCs w:val="22"/>
              </w:rPr>
            </w:pPr>
            <w:r w:rsidRPr="00BA4083">
              <w:rPr>
                <w:rFonts w:cs="Calibri"/>
                <w:szCs w:val="22"/>
              </w:rPr>
              <w:t>Understandin</w:t>
            </w:r>
            <w:r w:rsidRPr="00E24403">
              <w:t xml:space="preserve">g of key </w:t>
            </w:r>
            <w:r>
              <w:t xml:space="preserve">financial and operational </w:t>
            </w:r>
            <w:r w:rsidRPr="00E24403">
              <w:t>performance metrics</w:t>
            </w:r>
          </w:p>
        </w:tc>
        <w:tc>
          <w:tcPr>
            <w:tcW w:w="3728" w:type="dxa"/>
            <w:shd w:val="clear" w:color="auto" w:fill="F2F2F2" w:themeFill="background1" w:themeFillShade="F2"/>
          </w:tcPr>
          <w:p w14:paraId="216F933E" w14:textId="06A2984E" w:rsidR="00966F66" w:rsidRPr="00C00444" w:rsidRDefault="002B782D" w:rsidP="002B782D">
            <w:pPr>
              <w:spacing w:beforeLines="100" w:before="240" w:afterLines="100" w:after="240"/>
              <w:rPr>
                <w:rFonts w:cs="Calibri"/>
                <w:kern w:val="0"/>
                <w:szCs w:val="22"/>
              </w:rPr>
            </w:pPr>
            <w:r w:rsidRPr="00C00444">
              <w:rPr>
                <w:rFonts w:cs="Calibri"/>
                <w:kern w:val="0"/>
                <w:szCs w:val="22"/>
              </w:rPr>
              <w:t xml:space="preserve">Experience of working </w:t>
            </w:r>
            <w:r w:rsidR="00CD530E" w:rsidRPr="00C00444">
              <w:rPr>
                <w:rFonts w:cs="Calibri"/>
                <w:kern w:val="0"/>
                <w:szCs w:val="22"/>
              </w:rPr>
              <w:t xml:space="preserve">in </w:t>
            </w:r>
            <w:r w:rsidRPr="00C00444">
              <w:rPr>
                <w:rFonts w:cs="Calibri"/>
                <w:kern w:val="0"/>
                <w:szCs w:val="22"/>
              </w:rPr>
              <w:t>non-finance teams and communicating externally with customers at a senior level</w:t>
            </w:r>
          </w:p>
          <w:p w14:paraId="2573D8EC" w14:textId="24BAC04E" w:rsidR="003D56D6" w:rsidRPr="00C00444" w:rsidRDefault="00DB6BC6" w:rsidP="0005530F">
            <w:pPr>
              <w:rPr>
                <w:rFonts w:cs="Calibri"/>
                <w:szCs w:val="22"/>
              </w:rPr>
            </w:pPr>
            <w:r w:rsidRPr="00C00444">
              <w:rPr>
                <w:rFonts w:cs="Calibri"/>
                <w:szCs w:val="22"/>
              </w:rPr>
              <w:t xml:space="preserve">Experience leading M&amp;A and/or Finance system integrations </w:t>
            </w:r>
          </w:p>
          <w:p w14:paraId="32109E6E" w14:textId="77777777" w:rsidR="003D56D6" w:rsidRPr="00C00444" w:rsidRDefault="003D56D6" w:rsidP="0005530F">
            <w:pPr>
              <w:rPr>
                <w:rFonts w:cs="Calibri"/>
                <w:szCs w:val="22"/>
              </w:rPr>
            </w:pPr>
          </w:p>
          <w:p w14:paraId="5A7315A5" w14:textId="5F288F5C" w:rsidR="0005530F" w:rsidRPr="00C00444" w:rsidRDefault="0005530F" w:rsidP="0005530F">
            <w:pPr>
              <w:rPr>
                <w:rFonts w:cs="Calibri"/>
                <w:szCs w:val="22"/>
              </w:rPr>
            </w:pPr>
            <w:r w:rsidRPr="00C00444">
              <w:rPr>
                <w:rFonts w:cs="Calibri"/>
                <w:szCs w:val="22"/>
              </w:rPr>
              <w:t>Experience of working in a healthcare environment</w:t>
            </w:r>
          </w:p>
          <w:p w14:paraId="2549E619" w14:textId="77777777" w:rsidR="006F6744" w:rsidRPr="00C00444" w:rsidRDefault="006F6744" w:rsidP="006F6744">
            <w:pPr>
              <w:rPr>
                <w:rFonts w:cs="Calibri"/>
                <w:szCs w:val="22"/>
              </w:rPr>
            </w:pPr>
          </w:p>
          <w:p w14:paraId="79E87105" w14:textId="3A091163" w:rsidR="006F6744" w:rsidRPr="00C00444" w:rsidRDefault="00C178ED" w:rsidP="00C00444">
            <w:pPr>
              <w:rPr>
                <w:rFonts w:cs="Calibri"/>
                <w:szCs w:val="22"/>
              </w:rPr>
            </w:pPr>
            <w:r w:rsidRPr="007D6BFE">
              <w:rPr>
                <w:rFonts w:cs="Calibri"/>
                <w:szCs w:val="22"/>
              </w:rPr>
              <w:t xml:space="preserve">Direct interaction with </w:t>
            </w:r>
            <w:r w:rsidR="0055560B" w:rsidRPr="007D6BFE">
              <w:rPr>
                <w:rFonts w:cs="Calibri"/>
                <w:szCs w:val="22"/>
              </w:rPr>
              <w:t xml:space="preserve">key </w:t>
            </w:r>
            <w:r w:rsidRPr="007D6BFE">
              <w:rPr>
                <w:rFonts w:cs="Calibri"/>
                <w:szCs w:val="22"/>
              </w:rPr>
              <w:t>customers</w:t>
            </w:r>
            <w:r w:rsidR="00F152DC" w:rsidRPr="007D6BFE">
              <w:rPr>
                <w:rFonts w:cs="Calibri"/>
                <w:szCs w:val="22"/>
              </w:rPr>
              <w:t xml:space="preserve"> regarding contractual terms (</w:t>
            </w:r>
            <w:r w:rsidR="009E18C6" w:rsidRPr="007D6BFE">
              <w:rPr>
                <w:rFonts w:cs="Calibri"/>
                <w:szCs w:val="22"/>
              </w:rPr>
              <w:t xml:space="preserve">new/renew </w:t>
            </w:r>
            <w:r w:rsidR="00F152DC" w:rsidRPr="007D6BFE">
              <w:rPr>
                <w:rFonts w:cs="Calibri"/>
                <w:szCs w:val="22"/>
              </w:rPr>
              <w:t>pricing) and/or contractual performance;</w:t>
            </w:r>
            <w:r w:rsidRPr="007D6BFE">
              <w:rPr>
                <w:rFonts w:cs="Calibri"/>
                <w:szCs w:val="22"/>
              </w:rPr>
              <w:t xml:space="preserve"> </w:t>
            </w:r>
            <w:r w:rsidR="0055560B" w:rsidRPr="007D6BFE">
              <w:rPr>
                <w:rFonts w:cs="Calibri"/>
                <w:szCs w:val="22"/>
              </w:rPr>
              <w:t xml:space="preserve">ensuring </w:t>
            </w:r>
            <w:r w:rsidR="00B51577" w:rsidRPr="007D6BFE">
              <w:rPr>
                <w:rFonts w:cs="Calibri"/>
                <w:szCs w:val="22"/>
              </w:rPr>
              <w:t>the businesses commercial goals are tailored to</w:t>
            </w:r>
            <w:r w:rsidR="00751FA8" w:rsidRPr="007D6BFE">
              <w:rPr>
                <w:rFonts w:cs="Calibri"/>
                <w:szCs w:val="22"/>
              </w:rPr>
              <w:t>/sympathetic to</w:t>
            </w:r>
            <w:r w:rsidR="00B51577" w:rsidRPr="007D6BFE">
              <w:rPr>
                <w:rFonts w:cs="Calibri"/>
                <w:szCs w:val="22"/>
              </w:rPr>
              <w:t xml:space="preserve"> customer needs</w:t>
            </w:r>
          </w:p>
          <w:p w14:paraId="62605887" w14:textId="77777777" w:rsidR="006F6744" w:rsidRPr="00C00444" w:rsidRDefault="006F6744" w:rsidP="00C00444">
            <w:pPr>
              <w:rPr>
                <w:rFonts w:cs="Calibri"/>
                <w:szCs w:val="22"/>
              </w:rPr>
            </w:pPr>
          </w:p>
          <w:p w14:paraId="73BCA857" w14:textId="77B5A273" w:rsidR="00872BC5" w:rsidRPr="00C00444" w:rsidRDefault="00872BC5" w:rsidP="002B782D">
            <w:pPr>
              <w:spacing w:beforeLines="100" w:before="240" w:afterLines="100" w:after="240"/>
              <w:rPr>
                <w:rFonts w:cs="Calibri"/>
                <w:szCs w:val="22"/>
              </w:rPr>
            </w:pPr>
          </w:p>
        </w:tc>
      </w:tr>
      <w:tr w:rsidR="00966F66" w14:paraId="6F5BC3B6" w14:textId="77777777" w:rsidTr="00C074F0">
        <w:tc>
          <w:tcPr>
            <w:tcW w:w="2405" w:type="dxa"/>
            <w:shd w:val="clear" w:color="auto" w:fill="008B96"/>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shd w:val="clear" w:color="auto" w:fill="F2F2F2" w:themeFill="background1" w:themeFillShade="F2"/>
          </w:tcPr>
          <w:p w14:paraId="0F3783A4" w14:textId="77777777" w:rsidR="00C06568" w:rsidRDefault="00C06568" w:rsidP="000C043E">
            <w:pPr>
              <w:rPr>
                <w:rFonts w:cs="Calibri"/>
                <w:szCs w:val="22"/>
              </w:rPr>
            </w:pPr>
          </w:p>
          <w:p w14:paraId="47E6C824" w14:textId="1D02CA5A" w:rsidR="000C043E" w:rsidRDefault="000C043E" w:rsidP="000C043E">
            <w:pPr>
              <w:rPr>
                <w:rFonts w:cs="Calibri"/>
                <w:szCs w:val="22"/>
              </w:rPr>
            </w:pPr>
            <w:r>
              <w:rPr>
                <w:rFonts w:cs="Calibri"/>
                <w:szCs w:val="22"/>
              </w:rPr>
              <w:t>Advanced excel</w:t>
            </w:r>
            <w:r w:rsidR="00C06568">
              <w:rPr>
                <w:rFonts w:cs="Calibri"/>
                <w:szCs w:val="22"/>
              </w:rPr>
              <w:t>, w</w:t>
            </w:r>
            <w:r>
              <w:rPr>
                <w:rFonts w:cs="Calibri"/>
                <w:szCs w:val="22"/>
              </w:rPr>
              <w:t>ritten and communication skills</w:t>
            </w:r>
          </w:p>
          <w:p w14:paraId="634C8CBA" w14:textId="77777777" w:rsidR="00966F66" w:rsidRDefault="000C043E" w:rsidP="000C043E">
            <w:pPr>
              <w:spacing w:beforeLines="100" w:before="240" w:afterLines="100" w:after="240"/>
              <w:rPr>
                <w:rFonts w:cs="Calibri"/>
                <w:kern w:val="0"/>
                <w:szCs w:val="22"/>
              </w:rPr>
            </w:pPr>
            <w:r w:rsidRPr="000C043E">
              <w:rPr>
                <w:rFonts w:cs="Calibri"/>
                <w:kern w:val="0"/>
                <w:szCs w:val="22"/>
              </w:rPr>
              <w:t>Proven ability to understand the key drivers behind financial results</w:t>
            </w:r>
          </w:p>
          <w:p w14:paraId="54A6A0EE" w14:textId="77777777" w:rsidR="008302D6" w:rsidRDefault="00B11029" w:rsidP="008302D6">
            <w:pPr>
              <w:rPr>
                <w:rFonts w:cs="Calibri"/>
                <w:szCs w:val="22"/>
              </w:rPr>
            </w:pPr>
            <w:r>
              <w:rPr>
                <w:rFonts w:cs="Calibri"/>
                <w:szCs w:val="22"/>
              </w:rPr>
              <w:t xml:space="preserve">Ability to identify </w:t>
            </w:r>
            <w:r w:rsidR="00391448">
              <w:rPr>
                <w:rFonts w:cs="Calibri"/>
                <w:szCs w:val="22"/>
              </w:rPr>
              <w:t>operational drivers of profitability a</w:t>
            </w:r>
            <w:r>
              <w:rPr>
                <w:rFonts w:cs="Calibri"/>
                <w:szCs w:val="22"/>
              </w:rPr>
              <w:t xml:space="preserve">nd </w:t>
            </w:r>
            <w:r w:rsidR="00391448">
              <w:rPr>
                <w:rFonts w:cs="Calibri"/>
                <w:szCs w:val="22"/>
              </w:rPr>
              <w:t>educate/</w:t>
            </w:r>
            <w:r>
              <w:rPr>
                <w:rFonts w:cs="Calibri"/>
                <w:szCs w:val="22"/>
              </w:rPr>
              <w:t>influence</w:t>
            </w:r>
            <w:r w:rsidR="00391448">
              <w:rPr>
                <w:rFonts w:cs="Calibri"/>
                <w:szCs w:val="22"/>
              </w:rPr>
              <w:t xml:space="preserve"> stakeholders </w:t>
            </w:r>
            <w:r w:rsidR="005D5537">
              <w:rPr>
                <w:rFonts w:cs="Calibri"/>
                <w:szCs w:val="22"/>
              </w:rPr>
              <w:t xml:space="preserve">to </w:t>
            </w:r>
            <w:r w:rsidR="00872BC5">
              <w:rPr>
                <w:rFonts w:cs="Calibri"/>
                <w:szCs w:val="22"/>
              </w:rPr>
              <w:t>drive improvements</w:t>
            </w:r>
          </w:p>
          <w:p w14:paraId="2F77305B" w14:textId="1778B037" w:rsidR="008302D6" w:rsidRPr="000C043E" w:rsidRDefault="008302D6" w:rsidP="000C043E">
            <w:pPr>
              <w:spacing w:beforeLines="100" w:before="240" w:afterLines="100" w:after="240"/>
              <w:rPr>
                <w:rFonts w:cs="Calibri"/>
                <w:szCs w:val="22"/>
              </w:rPr>
            </w:pPr>
          </w:p>
        </w:tc>
        <w:tc>
          <w:tcPr>
            <w:tcW w:w="3728" w:type="dxa"/>
            <w:shd w:val="clear" w:color="auto" w:fill="F2F2F2" w:themeFill="background1" w:themeFillShade="F2"/>
          </w:tcPr>
          <w:p w14:paraId="2EAC6B83" w14:textId="77777777" w:rsidR="00C06568" w:rsidRDefault="00C06568" w:rsidP="000C043E">
            <w:pPr>
              <w:rPr>
                <w:rFonts w:cs="Calibri"/>
                <w:szCs w:val="22"/>
              </w:rPr>
            </w:pPr>
          </w:p>
          <w:p w14:paraId="4212B10F" w14:textId="27A55C61" w:rsidR="000C043E" w:rsidRDefault="000C043E" w:rsidP="000C043E">
            <w:pPr>
              <w:rPr>
                <w:rFonts w:cs="Calibri"/>
                <w:szCs w:val="22"/>
              </w:rPr>
            </w:pPr>
            <w:r>
              <w:rPr>
                <w:rFonts w:cs="Calibri"/>
                <w:szCs w:val="22"/>
              </w:rPr>
              <w:t xml:space="preserve">Microsoft Dynamics </w:t>
            </w:r>
          </w:p>
          <w:p w14:paraId="7FDA1A74" w14:textId="77777777" w:rsidR="00B71F1B" w:rsidRDefault="00B71F1B" w:rsidP="000C043E">
            <w:pPr>
              <w:rPr>
                <w:rFonts w:cs="Calibri"/>
                <w:szCs w:val="22"/>
              </w:rPr>
            </w:pPr>
          </w:p>
          <w:p w14:paraId="2C6F706A" w14:textId="6ADF7F5E" w:rsidR="00B71F1B" w:rsidRDefault="00B71F1B" w:rsidP="000C043E">
            <w:pPr>
              <w:rPr>
                <w:rFonts w:cs="Calibri"/>
                <w:szCs w:val="22"/>
              </w:rPr>
            </w:pPr>
            <w:r>
              <w:rPr>
                <w:rFonts w:cs="Calibri"/>
                <w:szCs w:val="22"/>
              </w:rPr>
              <w:t>Xero</w:t>
            </w:r>
          </w:p>
          <w:p w14:paraId="2CC69335" w14:textId="77777777" w:rsidR="000C043E" w:rsidRDefault="000C043E" w:rsidP="000C043E">
            <w:pPr>
              <w:rPr>
                <w:rFonts w:cs="Calibri"/>
                <w:szCs w:val="22"/>
              </w:rPr>
            </w:pPr>
          </w:p>
          <w:p w14:paraId="53AEF7D2" w14:textId="77777777" w:rsidR="0055560B" w:rsidRPr="00AD4E68" w:rsidRDefault="0055560B" w:rsidP="0055560B">
            <w:pPr>
              <w:rPr>
                <w:rFonts w:cs="Calibri"/>
                <w:szCs w:val="22"/>
              </w:rPr>
            </w:pPr>
            <w:proofErr w:type="spellStart"/>
            <w:r w:rsidRPr="00AD4E68">
              <w:rPr>
                <w:rFonts w:cs="Calibri"/>
                <w:szCs w:val="22"/>
              </w:rPr>
              <w:t>PowerBI</w:t>
            </w:r>
            <w:proofErr w:type="spellEnd"/>
          </w:p>
          <w:p w14:paraId="4B9B8E3A" w14:textId="77777777" w:rsidR="0055560B" w:rsidRDefault="0055560B" w:rsidP="000C043E">
            <w:pPr>
              <w:rPr>
                <w:rFonts w:cs="Calibri"/>
                <w:szCs w:val="22"/>
              </w:rPr>
            </w:pPr>
          </w:p>
          <w:p w14:paraId="621F64CA" w14:textId="05B9322D" w:rsidR="000C043E" w:rsidRDefault="000C043E" w:rsidP="000C043E">
            <w:pPr>
              <w:rPr>
                <w:rFonts w:cs="Calibri"/>
                <w:szCs w:val="22"/>
              </w:rPr>
            </w:pPr>
            <w:r>
              <w:rPr>
                <w:rFonts w:cs="Calibri"/>
                <w:szCs w:val="22"/>
              </w:rPr>
              <w:t xml:space="preserve">Operational experience outside of the finance </w:t>
            </w:r>
            <w:commentRangeStart w:id="4"/>
            <w:r>
              <w:rPr>
                <w:rFonts w:cs="Calibri"/>
                <w:szCs w:val="22"/>
              </w:rPr>
              <w:t>function</w:t>
            </w:r>
            <w:commentRangeEnd w:id="4"/>
            <w:r w:rsidR="00752152">
              <w:rPr>
                <w:rStyle w:val="CommentReference"/>
                <w:rFonts w:cs="Times New Roman"/>
              </w:rPr>
              <w:commentReference w:id="4"/>
            </w:r>
          </w:p>
          <w:p w14:paraId="0A86D72C" w14:textId="4CBF806D" w:rsidR="00625748" w:rsidRPr="00625748" w:rsidRDefault="00625748" w:rsidP="00625748">
            <w:pPr>
              <w:spacing w:beforeLines="100" w:before="240" w:afterLines="100" w:after="240"/>
              <w:rPr>
                <w:rFonts w:cs="Calibri"/>
                <w:szCs w:val="22"/>
              </w:rPr>
            </w:pPr>
            <w:r>
              <w:rPr>
                <w:rFonts w:cs="Calibri"/>
                <w:szCs w:val="22"/>
              </w:rPr>
              <w:t>Change Management / Project Management</w:t>
            </w:r>
          </w:p>
        </w:tc>
      </w:tr>
      <w:tr w:rsidR="00966F66" w14:paraId="37E339A4" w14:textId="77777777" w:rsidTr="00C074F0">
        <w:tc>
          <w:tcPr>
            <w:tcW w:w="2405" w:type="dxa"/>
            <w:shd w:val="clear" w:color="auto" w:fill="008B96"/>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3827" w:type="dxa"/>
            <w:shd w:val="clear" w:color="auto" w:fill="F2F2F2" w:themeFill="background1" w:themeFillShade="F2"/>
          </w:tcPr>
          <w:p w14:paraId="0305DEC1" w14:textId="77777777" w:rsidR="00C06568" w:rsidRDefault="00C06568" w:rsidP="00C06568">
            <w:pPr>
              <w:pStyle w:val="BulletListDense"/>
              <w:numPr>
                <w:ilvl w:val="0"/>
                <w:numId w:val="0"/>
              </w:numPr>
            </w:pPr>
          </w:p>
          <w:p w14:paraId="57564126" w14:textId="43C23D1D" w:rsidR="000C043E" w:rsidRDefault="00A92B81" w:rsidP="00A92B81">
            <w:pPr>
              <w:pStyle w:val="BulletListDense"/>
              <w:numPr>
                <w:ilvl w:val="0"/>
                <w:numId w:val="0"/>
              </w:numPr>
            </w:pPr>
            <w:r>
              <w:t>P</w:t>
            </w:r>
            <w:r w:rsidRPr="00A92B81">
              <w:t>ersonable, determined, holds high standards, and a real desire to make a difference</w:t>
            </w:r>
          </w:p>
          <w:p w14:paraId="021929D6" w14:textId="77777777" w:rsidR="002D3C8F" w:rsidRDefault="002D3C8F" w:rsidP="00A92B81">
            <w:pPr>
              <w:pStyle w:val="BulletListDense"/>
              <w:numPr>
                <w:ilvl w:val="0"/>
                <w:numId w:val="0"/>
              </w:numPr>
            </w:pPr>
          </w:p>
          <w:p w14:paraId="6F243D72" w14:textId="64D5DBB4" w:rsidR="002D3C8F" w:rsidRDefault="00FA713D" w:rsidP="00A92B81">
            <w:pPr>
              <w:pStyle w:val="BulletListDense"/>
              <w:numPr>
                <w:ilvl w:val="0"/>
                <w:numId w:val="0"/>
              </w:numPr>
            </w:pPr>
            <w:r>
              <w:t>Comfortable working to a high degree of autonomy</w:t>
            </w:r>
          </w:p>
          <w:p w14:paraId="2587DAAC" w14:textId="77777777" w:rsidR="00A92B81" w:rsidRPr="00E24403" w:rsidRDefault="00A92B81" w:rsidP="00A92B81">
            <w:pPr>
              <w:pStyle w:val="BulletListDense"/>
              <w:numPr>
                <w:ilvl w:val="0"/>
                <w:numId w:val="0"/>
              </w:numPr>
            </w:pPr>
          </w:p>
          <w:p w14:paraId="230E2859" w14:textId="476F64BA" w:rsidR="000C043E" w:rsidRDefault="000C043E" w:rsidP="00C06568">
            <w:pPr>
              <w:pStyle w:val="BulletListDense"/>
              <w:numPr>
                <w:ilvl w:val="0"/>
                <w:numId w:val="0"/>
              </w:numPr>
            </w:pPr>
            <w:r w:rsidRPr="00E24403">
              <w:t>Highly effective communicat</w:t>
            </w:r>
            <w:r w:rsidR="00197CAB">
              <w:t>or;</w:t>
            </w:r>
            <w:r w:rsidRPr="00E24403">
              <w:t xml:space="preserve"> presentation, verbal </w:t>
            </w:r>
            <w:r w:rsidR="00197CAB">
              <w:t xml:space="preserve">&amp; </w:t>
            </w:r>
            <w:r w:rsidRPr="00E24403">
              <w:t>written</w:t>
            </w:r>
          </w:p>
          <w:p w14:paraId="701C8FDF" w14:textId="77777777" w:rsidR="00625748" w:rsidRDefault="00625748" w:rsidP="00C06568">
            <w:pPr>
              <w:pStyle w:val="BulletListDense"/>
              <w:numPr>
                <w:ilvl w:val="0"/>
                <w:numId w:val="0"/>
              </w:numPr>
            </w:pPr>
          </w:p>
          <w:p w14:paraId="28ED9718" w14:textId="63D7B2E9" w:rsidR="00625748" w:rsidRPr="00E24403" w:rsidRDefault="00625748" w:rsidP="00C06568">
            <w:pPr>
              <w:pStyle w:val="BulletListDense"/>
              <w:numPr>
                <w:ilvl w:val="0"/>
                <w:numId w:val="0"/>
              </w:numPr>
            </w:pPr>
            <w:r>
              <w:t>Genuine leader with the ability to drive improvements in team dynamics and foster collaboration within the wider business</w:t>
            </w:r>
          </w:p>
          <w:p w14:paraId="51217B7A" w14:textId="77777777" w:rsidR="00065182" w:rsidRDefault="00065182" w:rsidP="00065182">
            <w:pPr>
              <w:pStyle w:val="BulletListDense"/>
              <w:numPr>
                <w:ilvl w:val="0"/>
                <w:numId w:val="0"/>
              </w:numPr>
            </w:pPr>
          </w:p>
          <w:p w14:paraId="49ED5FF2" w14:textId="2853F8D4" w:rsidR="000C043E" w:rsidRPr="00E24403" w:rsidRDefault="00C21686" w:rsidP="00C06568">
            <w:pPr>
              <w:pStyle w:val="BulletListDense"/>
              <w:numPr>
                <w:ilvl w:val="0"/>
                <w:numId w:val="0"/>
              </w:numPr>
            </w:pPr>
            <w:r>
              <w:t>S</w:t>
            </w:r>
            <w:r w:rsidR="000C043E" w:rsidRPr="00E24403">
              <w:t>elf-motivated and adaptable in a fast-changing environment.</w:t>
            </w:r>
          </w:p>
          <w:p w14:paraId="3CD76B41" w14:textId="77777777" w:rsidR="000C043E" w:rsidRPr="00E24403" w:rsidRDefault="000C043E" w:rsidP="00C06568">
            <w:pPr>
              <w:pStyle w:val="BulletListDense"/>
              <w:numPr>
                <w:ilvl w:val="0"/>
                <w:numId w:val="0"/>
              </w:numPr>
              <w:ind w:left="493"/>
            </w:pPr>
          </w:p>
          <w:p w14:paraId="17A6B37F" w14:textId="2822FCB7" w:rsidR="000C043E" w:rsidRPr="00E24403" w:rsidRDefault="00DE5736" w:rsidP="00C06568">
            <w:pPr>
              <w:pStyle w:val="BulletListDense"/>
              <w:numPr>
                <w:ilvl w:val="0"/>
                <w:numId w:val="0"/>
              </w:numPr>
            </w:pPr>
            <w:r>
              <w:t>Excellent</w:t>
            </w:r>
            <w:r w:rsidRPr="00E24403">
              <w:t xml:space="preserve"> </w:t>
            </w:r>
            <w:r w:rsidR="000C043E" w:rsidRPr="00E24403">
              <w:t>organisational and time management skills, ability to plan and prioritise own and service workload</w:t>
            </w:r>
          </w:p>
          <w:p w14:paraId="3C1F2034" w14:textId="77777777" w:rsidR="00065182" w:rsidRDefault="00065182" w:rsidP="00065182">
            <w:pPr>
              <w:pStyle w:val="BulletListDense"/>
              <w:numPr>
                <w:ilvl w:val="0"/>
                <w:numId w:val="0"/>
              </w:numPr>
            </w:pPr>
          </w:p>
          <w:p w14:paraId="57A2F7F5" w14:textId="14D4A087" w:rsidR="00065182" w:rsidRDefault="00065182" w:rsidP="00065182">
            <w:pPr>
              <w:pStyle w:val="BulletListDense"/>
              <w:numPr>
                <w:ilvl w:val="0"/>
                <w:numId w:val="0"/>
              </w:numPr>
            </w:pPr>
            <w:r>
              <w:t>C</w:t>
            </w:r>
            <w:r w:rsidRPr="00A92B81">
              <w:t>ommitted to ongoing professional development</w:t>
            </w:r>
          </w:p>
          <w:p w14:paraId="13D0229F" w14:textId="77777777" w:rsidR="000C043E" w:rsidRPr="00E24403" w:rsidRDefault="000C043E" w:rsidP="00D6632F">
            <w:pPr>
              <w:pStyle w:val="BulletListDense"/>
              <w:numPr>
                <w:ilvl w:val="0"/>
                <w:numId w:val="0"/>
              </w:numPr>
            </w:pPr>
          </w:p>
          <w:p w14:paraId="32CCFBD7" w14:textId="133F3DCD" w:rsidR="000C043E" w:rsidRDefault="000C043E" w:rsidP="00C06568">
            <w:pPr>
              <w:pStyle w:val="BulletListDense"/>
              <w:numPr>
                <w:ilvl w:val="0"/>
                <w:numId w:val="0"/>
              </w:numPr>
            </w:pPr>
            <w:r w:rsidRPr="00E24403">
              <w:t>Must be legally entitled to accept and perform work in the UK</w:t>
            </w:r>
          </w:p>
          <w:p w14:paraId="7C3290FA" w14:textId="77777777" w:rsidR="00C06568" w:rsidRPr="00E24403" w:rsidRDefault="00C06568" w:rsidP="00C06568">
            <w:pPr>
              <w:pStyle w:val="BulletListDense"/>
              <w:numPr>
                <w:ilvl w:val="0"/>
                <w:numId w:val="0"/>
              </w:numPr>
            </w:pPr>
          </w:p>
          <w:p w14:paraId="4EC2AF94" w14:textId="77777777" w:rsidR="00966F66" w:rsidRDefault="000C043E" w:rsidP="00C06568">
            <w:pPr>
              <w:pStyle w:val="BulletListDense"/>
              <w:numPr>
                <w:ilvl w:val="0"/>
                <w:numId w:val="0"/>
              </w:numPr>
            </w:pPr>
            <w:r w:rsidRPr="00E24403">
              <w:t>An awareness of and commitment to supporting and facilitating diversity and inclusion</w:t>
            </w:r>
          </w:p>
          <w:p w14:paraId="21FB89F2" w14:textId="53ADD49F" w:rsidR="00C06568" w:rsidRPr="00C06568" w:rsidRDefault="00C06568" w:rsidP="00C06568">
            <w:pPr>
              <w:pStyle w:val="BulletListDense"/>
              <w:numPr>
                <w:ilvl w:val="0"/>
                <w:numId w:val="0"/>
              </w:numPr>
            </w:pPr>
          </w:p>
        </w:tc>
        <w:tc>
          <w:tcPr>
            <w:tcW w:w="3728" w:type="dxa"/>
            <w:shd w:val="clear" w:color="auto" w:fill="F2F2F2" w:themeFill="background1" w:themeFillShade="F2"/>
          </w:tcPr>
          <w:p w14:paraId="49E7C29C" w14:textId="77777777" w:rsidR="00966F66" w:rsidRPr="00966F66" w:rsidRDefault="00966F66" w:rsidP="001D244A">
            <w:pPr>
              <w:spacing w:beforeLines="100" w:before="240" w:afterLines="100" w:after="240"/>
              <w:jc w:val="center"/>
              <w:rPr>
                <w:rFonts w:cs="Calibri"/>
                <w:szCs w:val="22"/>
              </w:rPr>
            </w:pPr>
          </w:p>
        </w:tc>
      </w:tr>
    </w:tbl>
    <w:p w14:paraId="11130E74" w14:textId="77777777" w:rsidR="004E462A" w:rsidRDefault="004E462A" w:rsidP="00966F66">
      <w:pPr>
        <w:rPr>
          <w:sz w:val="32"/>
          <w:szCs w:val="24"/>
        </w:rPr>
      </w:pPr>
    </w:p>
    <w:p w14:paraId="33287EE4" w14:textId="77777777" w:rsidR="00D06685" w:rsidRDefault="00D06685">
      <w:pPr>
        <w:spacing w:after="200"/>
        <w:rPr>
          <w:b/>
          <w:color w:val="00A7CF"/>
          <w:sz w:val="32"/>
          <w:szCs w:val="24"/>
        </w:rPr>
      </w:pPr>
      <w:r>
        <w:br w:type="page"/>
      </w:r>
    </w:p>
    <w:p w14:paraId="30A17578" w14:textId="5504C5E3" w:rsidR="00522685" w:rsidRPr="00DA3AA6" w:rsidRDefault="00522685" w:rsidP="00522685">
      <w:pPr>
        <w:pStyle w:val="Heading10"/>
        <w:rPr>
          <w:color w:val="008385"/>
        </w:rPr>
      </w:pPr>
      <w:r w:rsidRPr="00DA3AA6">
        <w:rPr>
          <w:color w:val="008385"/>
        </w:rP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C074F0">
        <w:trPr>
          <w:cantSplit/>
          <w:trHeight w:val="106"/>
          <w:jc w:val="center"/>
        </w:trPr>
        <w:tc>
          <w:tcPr>
            <w:tcW w:w="833" w:type="pct"/>
          </w:tcPr>
          <w:p w14:paraId="360EF241" w14:textId="77777777" w:rsidR="00AD6216" w:rsidRPr="00B8707C" w:rsidRDefault="00AD6216" w:rsidP="00F4622A">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F4622A">
            <w:pPr>
              <w:pStyle w:val="PROPERTIESBOX"/>
            </w:pPr>
            <w:r w:rsidRPr="00B8707C">
              <w:t>Review:</w:t>
            </w:r>
          </w:p>
        </w:tc>
        <w:tc>
          <w:tcPr>
            <w:tcW w:w="782" w:type="pct"/>
          </w:tcPr>
          <w:p w14:paraId="09E3D9BC" w14:textId="77777777" w:rsidR="00AD6216" w:rsidRPr="00B8707C" w:rsidRDefault="00AD6216" w:rsidP="00F4622A">
            <w:pPr>
              <w:pStyle w:val="PROPERTIESBOX"/>
            </w:pPr>
            <w:r w:rsidRPr="00B8707C">
              <w:t>Annually</w:t>
            </w:r>
          </w:p>
        </w:tc>
        <w:tc>
          <w:tcPr>
            <w:tcW w:w="755" w:type="pct"/>
          </w:tcPr>
          <w:p w14:paraId="0524B7B3" w14:textId="77777777" w:rsidR="00AD6216" w:rsidRPr="00B8707C" w:rsidRDefault="00AD6216" w:rsidP="00F4622A">
            <w:pPr>
              <w:pStyle w:val="PROPERTIESBOX"/>
            </w:pPr>
            <w:r w:rsidRPr="00B8707C">
              <w:t>Classification:</w:t>
            </w:r>
          </w:p>
        </w:tc>
        <w:tc>
          <w:tcPr>
            <w:tcW w:w="832" w:type="pct"/>
          </w:tcPr>
          <w:p w14:paraId="6CA7FC8E" w14:textId="77777777" w:rsidR="00AD6216" w:rsidRPr="00B8707C" w:rsidRDefault="00DE2250" w:rsidP="00F4622A">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C074F0">
        <w:trPr>
          <w:cantSplit/>
          <w:trHeight w:val="20"/>
          <w:jc w:val="center"/>
        </w:trPr>
        <w:tc>
          <w:tcPr>
            <w:tcW w:w="833" w:type="pct"/>
          </w:tcPr>
          <w:p w14:paraId="64F1AB60" w14:textId="77777777" w:rsidR="00AD6216" w:rsidRPr="00B8707C" w:rsidRDefault="00AD6216" w:rsidP="00F4622A">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F4622A">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F4622A">
                <w:pPr>
                  <w:pStyle w:val="PROPERTIESBOX"/>
                </w:pPr>
                <w:r>
                  <w:t>V1.1</w:t>
                </w:r>
              </w:p>
            </w:tc>
          </w:sdtContent>
        </w:sdt>
        <w:tc>
          <w:tcPr>
            <w:tcW w:w="755" w:type="pct"/>
          </w:tcPr>
          <w:p w14:paraId="221F73A7" w14:textId="77777777" w:rsidR="00AD6216" w:rsidRPr="00B8707C" w:rsidRDefault="00AD6216" w:rsidP="00F4622A">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F4622A">
                <w:pPr>
                  <w:pStyle w:val="PROPERTIESBOX"/>
                </w:pPr>
                <w:r w:rsidRPr="00B8707C">
                  <w:t>PUBLISHED</w:t>
                </w:r>
              </w:p>
            </w:tc>
          </w:sdtContent>
        </w:sdt>
      </w:tr>
      <w:tr w:rsidR="00AD6216" w:rsidRPr="00B8707C" w14:paraId="2B5C0486" w14:textId="77777777" w:rsidTr="00C074F0">
        <w:trPr>
          <w:cantSplit/>
          <w:trHeight w:val="20"/>
          <w:jc w:val="center"/>
        </w:trPr>
        <w:tc>
          <w:tcPr>
            <w:tcW w:w="833" w:type="pct"/>
          </w:tcPr>
          <w:p w14:paraId="16F25B2E" w14:textId="77777777" w:rsidR="00AD6216" w:rsidRPr="00B8707C" w:rsidRDefault="00AD6216" w:rsidP="00F4622A">
            <w:pPr>
              <w:pStyle w:val="PROPERTIESBOX"/>
            </w:pPr>
            <w:r w:rsidRPr="00B8707C">
              <w:t>Date Published:</w:t>
            </w:r>
          </w:p>
        </w:tc>
        <w:bookmarkStart w:id="5" w:name="_Hlk527360505"/>
        <w:tc>
          <w:tcPr>
            <w:tcW w:w="1086" w:type="pct"/>
          </w:tcPr>
          <w:p w14:paraId="6AA0B98B" w14:textId="08AD492D" w:rsidR="00AD6216" w:rsidRPr="00B8707C" w:rsidRDefault="00DE2250" w:rsidP="00F4622A">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5"/>
          </w:p>
        </w:tc>
        <w:tc>
          <w:tcPr>
            <w:tcW w:w="712" w:type="pct"/>
          </w:tcPr>
          <w:p w14:paraId="32FAEE6D" w14:textId="77777777" w:rsidR="00AD6216" w:rsidRPr="00B8707C" w:rsidRDefault="00AD6216" w:rsidP="00F4622A">
            <w:pPr>
              <w:pStyle w:val="PROPERTIESBOX"/>
            </w:pPr>
            <w:r w:rsidRPr="00B8707C">
              <w:t>Code:</w:t>
            </w:r>
          </w:p>
        </w:tc>
        <w:tc>
          <w:tcPr>
            <w:tcW w:w="782" w:type="pct"/>
          </w:tcPr>
          <w:p w14:paraId="5F9998C6" w14:textId="7F2605B8" w:rsidR="00AD6216" w:rsidRPr="00B8707C" w:rsidRDefault="00DE225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F4622A">
            <w:pPr>
              <w:pStyle w:val="PROPERTIESBOX"/>
            </w:pPr>
          </w:p>
        </w:tc>
        <w:tc>
          <w:tcPr>
            <w:tcW w:w="832" w:type="pct"/>
          </w:tcPr>
          <w:p w14:paraId="26AF3A4B" w14:textId="77777777" w:rsidR="00AD6216" w:rsidRPr="00B8707C" w:rsidRDefault="00AD6216" w:rsidP="00F4622A">
            <w:pPr>
              <w:pStyle w:val="PROPERTIESBOX"/>
            </w:pPr>
          </w:p>
        </w:tc>
      </w:tr>
    </w:tbl>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C074F0">
        <w:trPr>
          <w:trHeight w:val="254"/>
          <w:jc w:val="center"/>
        </w:trPr>
        <w:tc>
          <w:tcPr>
            <w:tcW w:w="491" w:type="pct"/>
          </w:tcPr>
          <w:p w14:paraId="4ABC5614" w14:textId="77777777" w:rsidR="00F63E60" w:rsidRPr="009D715E" w:rsidRDefault="00F63E60" w:rsidP="00F4622A">
            <w:pPr>
              <w:pStyle w:val="PROPERTIESBOX"/>
            </w:pPr>
            <w:r>
              <w:t>Version:</w:t>
            </w:r>
          </w:p>
        </w:tc>
        <w:tc>
          <w:tcPr>
            <w:tcW w:w="493" w:type="pct"/>
          </w:tcPr>
          <w:p w14:paraId="363F2797" w14:textId="77777777" w:rsidR="00F63E60" w:rsidRPr="009D715E" w:rsidRDefault="00F63E60" w:rsidP="00F4622A">
            <w:pPr>
              <w:pStyle w:val="PROPERTIESBOX"/>
            </w:pPr>
            <w:r>
              <w:t>Date:</w:t>
            </w:r>
          </w:p>
        </w:tc>
        <w:tc>
          <w:tcPr>
            <w:tcW w:w="4016" w:type="pct"/>
          </w:tcPr>
          <w:p w14:paraId="2FDE9C08" w14:textId="77777777" w:rsidR="00F63E60" w:rsidRPr="009D715E" w:rsidRDefault="00F63E60" w:rsidP="00F4622A">
            <w:pPr>
              <w:pStyle w:val="PROPERTIESBOX"/>
            </w:pPr>
            <w:r>
              <w:t>Summary of Changes</w:t>
            </w:r>
          </w:p>
        </w:tc>
      </w:tr>
      <w:tr w:rsidR="00F63E60" w14:paraId="059E5C04" w14:textId="77777777" w:rsidTr="00C074F0">
        <w:trPr>
          <w:trHeight w:val="254"/>
          <w:jc w:val="center"/>
        </w:trPr>
        <w:tc>
          <w:tcPr>
            <w:tcW w:w="491" w:type="pct"/>
          </w:tcPr>
          <w:p w14:paraId="544BB3BC" w14:textId="7EE5AAF2" w:rsidR="00F63E60" w:rsidRPr="009D715E" w:rsidRDefault="00966F66" w:rsidP="00F4622A">
            <w:pPr>
              <w:pStyle w:val="PROPERTIESBOX"/>
            </w:pPr>
            <w:r>
              <w:t>V1.1</w:t>
            </w:r>
          </w:p>
        </w:tc>
        <w:tc>
          <w:tcPr>
            <w:tcW w:w="493" w:type="pct"/>
          </w:tcPr>
          <w:p w14:paraId="773B1DEB" w14:textId="4DC8A26E" w:rsidR="00F63E60" w:rsidRPr="009D715E" w:rsidRDefault="00966F66" w:rsidP="00F4622A">
            <w:pPr>
              <w:pStyle w:val="PROPERTIESBOX"/>
            </w:pPr>
            <w:r>
              <w:t>03.12.19</w:t>
            </w:r>
          </w:p>
        </w:tc>
        <w:tc>
          <w:tcPr>
            <w:tcW w:w="4016" w:type="pct"/>
          </w:tcPr>
          <w:p w14:paraId="31F7AC6B" w14:textId="0977EE71" w:rsidR="00F63E60" w:rsidRPr="009D715E" w:rsidRDefault="00966F66" w:rsidP="00F4622A">
            <w:pPr>
              <w:pStyle w:val="PROPERTIESBOX"/>
            </w:pPr>
            <w:r w:rsidRPr="00966F66">
              <w:t>Document copied onto authorised VHG branded Policy Template</w:t>
            </w:r>
            <w:r w:rsidR="003B3ED7">
              <w:t xml:space="preserve"> (original had no coding)</w:t>
            </w:r>
          </w:p>
        </w:tc>
      </w:tr>
      <w:tr w:rsidR="00284165" w14:paraId="41DC9200" w14:textId="77777777" w:rsidTr="00C074F0">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bl>
    <w:p w14:paraId="6120BA58" w14:textId="3BE7EF40" w:rsidR="002C1886" w:rsidRDefault="002C1886" w:rsidP="00D6632F">
      <w:pPr>
        <w:spacing w:line="240" w:lineRule="auto"/>
        <w:rPr>
          <w:noProof/>
          <w:lang w:eastAsia="en-GB"/>
        </w:rPr>
      </w:pPr>
    </w:p>
    <w:sectPr w:rsidR="002C1886" w:rsidSect="00C13FD7">
      <w:headerReference w:type="even" r:id="rId17"/>
      <w:headerReference w:type="default" r:id="rId18"/>
      <w:footerReference w:type="even" r:id="rId19"/>
      <w:footerReference w:type="default" r:id="rId20"/>
      <w:headerReference w:type="first" r:id="rId21"/>
      <w:footerReference w:type="first" r:id="rId22"/>
      <w:pgSz w:w="12240" w:h="15840"/>
      <w:pgMar w:top="992" w:right="1134" w:bottom="1276" w:left="1134" w:header="794" w:footer="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Kevin Riley" w:date="2025-10-01T20:18:00Z" w:initials="KR">
    <w:p w14:paraId="557C2A32" w14:textId="77777777" w:rsidR="00947FBA" w:rsidRDefault="00947FBA" w:rsidP="00947FBA">
      <w:pPr>
        <w:pStyle w:val="CommentText"/>
      </w:pPr>
      <w:r>
        <w:rPr>
          <w:rStyle w:val="CommentReference"/>
        </w:rPr>
        <w:annotationRef/>
      </w:r>
      <w:r>
        <w:t>Consider adding the fact this is the key contact for the partner area - first point of contact/resolution from the business perspective, and from Finance perspective the key conduit to understanding both financial performance and all key contributing factors (awareness of referrals, customer behaviour, staffing retention, engagaement etc - we need to be able to go to them to get an materially compete understanding of all key items in the partner area….not just receive forecasts</w:t>
      </w:r>
    </w:p>
  </w:comment>
  <w:comment w:id="2" w:author="Kevin Riley" w:date="2025-10-01T20:06:00Z" w:initials="KR">
    <w:p w14:paraId="1E908C60" w14:textId="081FB281" w:rsidR="00C95E26" w:rsidRDefault="00C95E26" w:rsidP="00C95E26">
      <w:pPr>
        <w:pStyle w:val="CommentText"/>
      </w:pPr>
      <w:r>
        <w:rPr>
          <w:rStyle w:val="CommentReference"/>
        </w:rPr>
        <w:annotationRef/>
      </w:r>
      <w:r>
        <w:t>area</w:t>
      </w:r>
    </w:p>
  </w:comment>
  <w:comment w:id="3" w:author="Kevin Riley" w:date="2025-10-01T20:14:00Z" w:initials="KR">
    <w:p w14:paraId="3C484A42" w14:textId="77777777" w:rsidR="00933AA0" w:rsidRDefault="00933AA0" w:rsidP="00933AA0">
      <w:pPr>
        <w:pStyle w:val="CommentText"/>
      </w:pPr>
      <w:r>
        <w:rPr>
          <w:rStyle w:val="CommentReference"/>
        </w:rPr>
        <w:annotationRef/>
      </w:r>
      <w:r>
        <w:t>Possibly add to this, or add a new bullet, referencing ownership for all aspects of financial performance - EBITDA, PBT, Capex, debtors…..while not directly in control of all of these, we are essentially looking for mini-FDs who consider holistic financial performance</w:t>
      </w:r>
    </w:p>
  </w:comment>
  <w:comment w:id="4" w:author="Kevin Riley" w:date="2025-10-01T20:21:00Z" w:initials="KR">
    <w:p w14:paraId="7EC23658" w14:textId="77777777" w:rsidR="00752152" w:rsidRDefault="00752152" w:rsidP="00752152">
      <w:pPr>
        <w:pStyle w:val="CommentText"/>
      </w:pPr>
      <w:r>
        <w:rPr>
          <w:rStyle w:val="CommentReference"/>
        </w:rPr>
        <w:annotationRef/>
      </w:r>
      <w:r>
        <w:t>Possibly a bit of a stretch, but maybe add a desirable of change and/or project management experience - we’re going to experience lots of change and these skills are invaluable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57C2A32" w15:done="1"/>
  <w15:commentEx w15:paraId="1E908C60" w15:done="1"/>
  <w15:commentEx w15:paraId="3C484A42" w15:done="1"/>
  <w15:commentEx w15:paraId="7EC2365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FC0271" w16cex:dateUtc="2025-10-01T19:18:00Z"/>
  <w16cex:commentExtensible w16cex:durableId="5802D8E1" w16cex:dateUtc="2025-10-01T19:06:00Z"/>
  <w16cex:commentExtensible w16cex:durableId="39B22244" w16cex:dateUtc="2025-10-01T19:14:00Z"/>
  <w16cex:commentExtensible w16cex:durableId="124EAA32" w16cex:dateUtc="2025-10-01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7C2A32" w16cid:durableId="73FC0271"/>
  <w16cid:commentId w16cid:paraId="1E908C60" w16cid:durableId="5802D8E1"/>
  <w16cid:commentId w16cid:paraId="3C484A42" w16cid:durableId="39B22244"/>
  <w16cid:commentId w16cid:paraId="7EC23658" w16cid:durableId="124EAA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7CD5C" w14:textId="77777777" w:rsidR="00D82B3D" w:rsidRDefault="00D82B3D" w:rsidP="00A96CB2">
      <w:r>
        <w:separator/>
      </w:r>
    </w:p>
  </w:endnote>
  <w:endnote w:type="continuationSeparator" w:id="0">
    <w:p w14:paraId="532B8227" w14:textId="77777777" w:rsidR="00D82B3D" w:rsidRDefault="00D82B3D" w:rsidP="00A96CB2">
      <w:r>
        <w:continuationSeparator/>
      </w:r>
    </w:p>
  </w:endnote>
  <w:endnote w:type="continuationNotice" w:id="1">
    <w:p w14:paraId="240D3BE1" w14:textId="77777777" w:rsidR="00D82B3D" w:rsidRDefault="00D82B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55D151B5" w:rsidR="00073D92" w:rsidRPr="00F553DC" w:rsidRDefault="00073D92" w:rsidP="000123BC">
            <w:pPr>
              <w:pStyle w:val="Footer"/>
              <w:spacing w:line="240" w:lineRule="auto"/>
              <w:ind w:right="-518"/>
              <w:jc w:val="right"/>
              <w:rPr>
                <w:color w:val="707070"/>
              </w:rPr>
            </w:pP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C074F0">
      <w:trPr>
        <w:jc w:val="center"/>
      </w:trPr>
      <w:tc>
        <w:tcPr>
          <w:tcW w:w="7661" w:type="dxa"/>
        </w:tcPr>
        <w:p w14:paraId="27A157D9" w14:textId="5771B434" w:rsidR="00073D92" w:rsidRPr="00F553DC" w:rsidRDefault="00073D92" w:rsidP="00073D92">
          <w:pPr>
            <w:pStyle w:val="Footer1"/>
            <w:ind w:left="459"/>
          </w:pPr>
          <w:r>
            <w:t>Head Office</w:t>
          </w:r>
          <w:r w:rsidRPr="00F553DC">
            <w:t>:</w:t>
          </w:r>
          <w:r w:rsidR="00894C65">
            <w:t xml:space="preserve"> 3 Dorset Rise, London, EC4Y </w:t>
          </w:r>
          <w:r w:rsidR="00793F33">
            <w:t>8EN</w:t>
          </w:r>
          <w:r w:rsidRPr="00F553DC">
            <w:tab/>
          </w:r>
        </w:p>
      </w:tc>
      <w:tc>
        <w:tcPr>
          <w:tcW w:w="3538" w:type="dxa"/>
        </w:tcPr>
        <w:p w14:paraId="73B3E9B5" w14:textId="1BA42A3B" w:rsidR="00073D92" w:rsidRPr="00F553DC" w:rsidRDefault="00073D92" w:rsidP="00073D92">
          <w:pPr>
            <w:pStyle w:val="Footer1"/>
            <w:jc w:val="right"/>
          </w:pPr>
          <w:r w:rsidRPr="00F553DC">
            <w:t>www.</w:t>
          </w:r>
          <w:r w:rsidR="00A545CB">
            <w:t>spirehealthcare</w:t>
          </w:r>
          <w:r w:rsidRPr="00F553DC">
            <w:t>.co</w:t>
          </w:r>
          <w:r w:rsidR="002A4567">
            <w:t>m</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C074F0">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C074F0">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C074F0">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31099" w14:textId="77777777" w:rsidR="00D82B3D" w:rsidRDefault="00D82B3D" w:rsidP="00A96CB2">
      <w:r>
        <w:separator/>
      </w:r>
    </w:p>
  </w:footnote>
  <w:footnote w:type="continuationSeparator" w:id="0">
    <w:p w14:paraId="6A9A2462" w14:textId="77777777" w:rsidR="00D82B3D" w:rsidRDefault="00D82B3D" w:rsidP="00A96CB2">
      <w:r>
        <w:continuationSeparator/>
      </w:r>
    </w:p>
  </w:footnote>
  <w:footnote w:type="continuationNotice" w:id="1">
    <w:p w14:paraId="6BBA6869" w14:textId="77777777" w:rsidR="00D82B3D" w:rsidRDefault="00D82B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39556147" w:rsidR="004F04E2" w:rsidRDefault="00407AE5" w:rsidP="00195D47">
    <w:pPr>
      <w:pStyle w:val="Address"/>
      <w:tabs>
        <w:tab w:val="left" w:pos="4180"/>
        <w:tab w:val="right" w:pos="10080"/>
      </w:tabs>
      <w:jc w:val="left"/>
    </w:pPr>
    <w:r w:rsidRPr="00407AE5">
      <w:rPr>
        <w:noProof/>
      </w:rPr>
      <w:drawing>
        <wp:inline distT="0" distB="0" distL="0" distR="0" wp14:anchorId="1B81BCBC" wp14:editId="675F9DC8">
          <wp:extent cx="2438052" cy="482659"/>
          <wp:effectExtent l="0" t="0" r="635" b="0"/>
          <wp:docPr id="2114756983" name="Picture 14" descr="A black and white text&#10;&#10;AI-generated content may be incorrect.">
            <a:extLst xmlns:a="http://schemas.openxmlformats.org/drawingml/2006/main">
              <a:ext uri="{FF2B5EF4-FFF2-40B4-BE49-F238E27FC236}">
                <a16:creationId xmlns:a16="http://schemas.microsoft.com/office/drawing/2014/main" id="{FF87E6A6-026C-F94C-99BE-666308172A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756983" name="Picture 14" descr="A black and white text&#10;&#10;AI-generated content may be incorrect.">
                    <a:extLst>
                      <a:ext uri="{FF2B5EF4-FFF2-40B4-BE49-F238E27FC236}">
                        <a16:creationId xmlns:a16="http://schemas.microsoft.com/office/drawing/2014/main" id="{FF87E6A6-026C-F94C-99BE-666308172ADC}"/>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2438052" cy="482659"/>
                  </a:xfrm>
                  <a:prstGeom prst="rect">
                    <a:avLst/>
                  </a:prstGeom>
                </pic:spPr>
              </pic:pic>
            </a:graphicData>
          </a:graphic>
        </wp:inline>
      </w:drawing>
    </w:r>
    <w:r w:rsidR="005E1013"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C8FA8C2" w:rsidR="005E1013" w:rsidRPr="004A6AA8" w:rsidRDefault="00DE225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430B5">
                                <w:t>Deputy Commercial Finance Director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C8FA8C2" w:rsidR="005E1013" w:rsidRPr="004A6AA8" w:rsidRDefault="00DE225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430B5">
                          <w:t>Deputy Commercial Finance Director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30E5F" w14:textId="7815347D" w:rsidR="004F04E2" w:rsidRPr="006A7FC8" w:rsidRDefault="00407AE5" w:rsidP="00557C5F">
    <w:pPr>
      <w:pStyle w:val="Header"/>
      <w:tabs>
        <w:tab w:val="center" w:pos="1717"/>
        <w:tab w:val="right" w:pos="3434"/>
      </w:tabs>
    </w:pPr>
    <w:r w:rsidRPr="00407AE5">
      <w:rPr>
        <w:noProof/>
        <w:lang w:eastAsia="en-GB"/>
      </w:rPr>
      <w:drawing>
        <wp:inline distT="0" distB="0" distL="0" distR="0" wp14:anchorId="608BAA2D" wp14:editId="07C893FD">
          <wp:extent cx="2438052" cy="482659"/>
          <wp:effectExtent l="0" t="0" r="635" b="0"/>
          <wp:docPr id="15" name="Picture 14" descr="A black and white text&#10;&#10;AI-generated content may be incorrect.">
            <a:extLst xmlns:a="http://schemas.openxmlformats.org/drawingml/2006/main">
              <a:ext uri="{FF2B5EF4-FFF2-40B4-BE49-F238E27FC236}">
                <a16:creationId xmlns:a16="http://schemas.microsoft.com/office/drawing/2014/main" id="{FF87E6A6-026C-F94C-99BE-666308172A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black and white text&#10;&#10;AI-generated content may be incorrect.">
                    <a:extLst>
                      <a:ext uri="{FF2B5EF4-FFF2-40B4-BE49-F238E27FC236}">
                        <a16:creationId xmlns:a16="http://schemas.microsoft.com/office/drawing/2014/main" id="{FF87E6A6-026C-F94C-99BE-666308172ADC}"/>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2438052" cy="482659"/>
                  </a:xfrm>
                  <a:prstGeom prst="rect">
                    <a:avLst/>
                  </a:prstGeom>
                </pic:spPr>
              </pic:pic>
            </a:graphicData>
          </a:graphic>
        </wp:inline>
      </w:drawing>
    </w:r>
    <w:r w:rsidR="00DA61B2"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4A2A01FF">
              <wp:simplePos x="0" y="0"/>
              <wp:positionH relativeFrom="margin">
                <wp:posOffset>194310</wp:posOffset>
              </wp:positionH>
              <wp:positionV relativeFrom="paragraph">
                <wp:posOffset>-446405</wp:posOffset>
              </wp:positionV>
              <wp:extent cx="6548755"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755" cy="298450"/>
                      </a:xfrm>
                      <a:prstGeom prst="rect">
                        <a:avLst/>
                      </a:prstGeom>
                      <a:noFill/>
                      <a:ln w="9525">
                        <a:noFill/>
                        <a:miter lim="800000"/>
                        <a:headEnd/>
                        <a:tailEnd/>
                      </a:ln>
                    </wps:spPr>
                    <wps:txbx>
                      <w:txbxContent>
                        <w:p w14:paraId="4188ED15" w14:textId="5BC05907" w:rsidR="00AD6216" w:rsidRPr="004A6AA8" w:rsidRDefault="00DE225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430B5">
                                <w:t>Deputy Commercial Finance Director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35.15pt;width:515.65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" filled="f" stroked="f">
              <v:textbox>
                <w:txbxContent>
                  <w:p w14:paraId="4188ED15" w14:textId="5BC05907" w:rsidR="00AD6216" w:rsidRPr="004A6AA8" w:rsidRDefault="00DE225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430B5">
                          <w:t>Deputy Commercial Finance Director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557C5F">
      <w:rPr>
        <w:noProof/>
        <w:lang w:eastAsia="en-GB"/>
      </w:rPr>
      <w:tab/>
    </w:r>
    <w:r w:rsidR="00557C5F">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pt;height:278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FB1C5D"/>
    <w:multiLevelType w:val="multilevel"/>
    <w:tmpl w:val="BCA0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962D2"/>
    <w:multiLevelType w:val="hybridMultilevel"/>
    <w:tmpl w:val="9AD8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F2D4A"/>
    <w:multiLevelType w:val="hybridMultilevel"/>
    <w:tmpl w:val="7396DFA6"/>
    <w:lvl w:ilvl="0" w:tplc="08090001">
      <w:start w:val="1"/>
      <w:numFmt w:val="bullet"/>
      <w:lvlText w:val=""/>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7350984"/>
    <w:multiLevelType w:val="hybridMultilevel"/>
    <w:tmpl w:val="09CAD7DE"/>
    <w:lvl w:ilvl="0" w:tplc="08090001">
      <w:start w:val="1"/>
      <w:numFmt w:val="bullet"/>
      <w:lvlText w:val=""/>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C32844"/>
    <w:multiLevelType w:val="multilevel"/>
    <w:tmpl w:val="01AE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173A89"/>
    <w:multiLevelType w:val="hybridMultilevel"/>
    <w:tmpl w:val="1B1ECAA0"/>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65A5C5F"/>
    <w:multiLevelType w:val="hybridMultilevel"/>
    <w:tmpl w:val="CDD27A2A"/>
    <w:lvl w:ilvl="0" w:tplc="D72A1CB0">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B64587"/>
    <w:multiLevelType w:val="hybridMultilevel"/>
    <w:tmpl w:val="E4D69F4C"/>
    <w:lvl w:ilvl="0" w:tplc="08090001">
      <w:start w:val="1"/>
      <w:numFmt w:val="bullet"/>
      <w:lvlText w:val=""/>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0D4E2E"/>
    <w:multiLevelType w:val="hybridMultilevel"/>
    <w:tmpl w:val="23C45C0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862351490">
    <w:abstractNumId w:val="12"/>
  </w:num>
  <w:num w:numId="2" w16cid:durableId="167256568">
    <w:abstractNumId w:val="13"/>
  </w:num>
  <w:num w:numId="3" w16cid:durableId="1199658721">
    <w:abstractNumId w:val="3"/>
  </w:num>
  <w:num w:numId="4" w16cid:durableId="854735220">
    <w:abstractNumId w:val="2"/>
  </w:num>
  <w:num w:numId="5" w16cid:durableId="1373261734">
    <w:abstractNumId w:val="1"/>
  </w:num>
  <w:num w:numId="6" w16cid:durableId="1155872598">
    <w:abstractNumId w:val="0"/>
  </w:num>
  <w:num w:numId="7" w16cid:durableId="933588645">
    <w:abstractNumId w:val="20"/>
  </w:num>
  <w:num w:numId="8" w16cid:durableId="778179382">
    <w:abstractNumId w:val="21"/>
  </w:num>
  <w:num w:numId="9" w16cid:durableId="1270313837">
    <w:abstractNumId w:val="14"/>
  </w:num>
  <w:num w:numId="10" w16cid:durableId="809715027">
    <w:abstractNumId w:val="4"/>
  </w:num>
  <w:num w:numId="11" w16cid:durableId="1072120954">
    <w:abstractNumId w:val="16"/>
  </w:num>
  <w:num w:numId="12" w16cid:durableId="461308346">
    <w:abstractNumId w:val="10"/>
  </w:num>
  <w:num w:numId="13" w16cid:durableId="1507944142">
    <w:abstractNumId w:val="9"/>
  </w:num>
  <w:num w:numId="14" w16cid:durableId="2042197398">
    <w:abstractNumId w:val="25"/>
  </w:num>
  <w:num w:numId="15" w16cid:durableId="780150838">
    <w:abstractNumId w:val="23"/>
  </w:num>
  <w:num w:numId="16" w16cid:durableId="23479766">
    <w:abstractNumId w:val="17"/>
  </w:num>
  <w:num w:numId="17" w16cid:durableId="703211367">
    <w:abstractNumId w:val="8"/>
  </w:num>
  <w:num w:numId="18" w16cid:durableId="948778938">
    <w:abstractNumId w:val="18"/>
  </w:num>
  <w:num w:numId="19" w16cid:durableId="812872284">
    <w:abstractNumId w:val="11"/>
  </w:num>
  <w:num w:numId="20" w16cid:durableId="14852715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94994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9110053">
    <w:abstractNumId w:val="5"/>
  </w:num>
  <w:num w:numId="23" w16cid:durableId="1211529198">
    <w:abstractNumId w:val="20"/>
  </w:num>
  <w:num w:numId="24" w16cid:durableId="1642230829">
    <w:abstractNumId w:val="19"/>
  </w:num>
  <w:num w:numId="25" w16cid:durableId="628821958">
    <w:abstractNumId w:val="20"/>
  </w:num>
  <w:num w:numId="26" w16cid:durableId="2092846132">
    <w:abstractNumId w:val="22"/>
  </w:num>
  <w:num w:numId="27" w16cid:durableId="2015454994">
    <w:abstractNumId w:val="26"/>
  </w:num>
  <w:num w:numId="28" w16cid:durableId="1129084239">
    <w:abstractNumId w:val="6"/>
  </w:num>
  <w:num w:numId="29" w16cid:durableId="1979646834">
    <w:abstractNumId w:val="20"/>
  </w:num>
  <w:num w:numId="30" w16cid:durableId="573202024">
    <w:abstractNumId w:val="20"/>
  </w:num>
  <w:num w:numId="31" w16cid:durableId="1149640337">
    <w:abstractNumId w:val="20"/>
  </w:num>
  <w:num w:numId="32" w16cid:durableId="1318725827">
    <w:abstractNumId w:val="15"/>
  </w:num>
  <w:num w:numId="33" w16cid:durableId="1032919399">
    <w:abstractNumId w:val="7"/>
  </w:num>
  <w:num w:numId="34" w16cid:durableId="58136993">
    <w:abstractNumId w:val="2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evin Riley">
    <w15:presenceInfo w15:providerId="AD" w15:userId="S::Kevin.Riley@vhg.co.uk::d16f0a8f-06a2-424d-a644-3d600241b4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114C"/>
    <w:rsid w:val="00006998"/>
    <w:rsid w:val="000123BC"/>
    <w:rsid w:val="000147A1"/>
    <w:rsid w:val="000156C7"/>
    <w:rsid w:val="0003359B"/>
    <w:rsid w:val="000355B3"/>
    <w:rsid w:val="000361B6"/>
    <w:rsid w:val="000451AC"/>
    <w:rsid w:val="0005530F"/>
    <w:rsid w:val="00060F4B"/>
    <w:rsid w:val="00065182"/>
    <w:rsid w:val="00073D92"/>
    <w:rsid w:val="0007487D"/>
    <w:rsid w:val="000778C3"/>
    <w:rsid w:val="0008067D"/>
    <w:rsid w:val="00091AC5"/>
    <w:rsid w:val="0009523A"/>
    <w:rsid w:val="00096451"/>
    <w:rsid w:val="000A27FA"/>
    <w:rsid w:val="000B16E3"/>
    <w:rsid w:val="000B543A"/>
    <w:rsid w:val="000C043E"/>
    <w:rsid w:val="000C22EE"/>
    <w:rsid w:val="000D5675"/>
    <w:rsid w:val="000D6A43"/>
    <w:rsid w:val="000F1AD1"/>
    <w:rsid w:val="000F3980"/>
    <w:rsid w:val="001138E4"/>
    <w:rsid w:val="00125E17"/>
    <w:rsid w:val="001261A1"/>
    <w:rsid w:val="00132A6E"/>
    <w:rsid w:val="00145448"/>
    <w:rsid w:val="0014591F"/>
    <w:rsid w:val="001521BA"/>
    <w:rsid w:val="001613CA"/>
    <w:rsid w:val="001730A7"/>
    <w:rsid w:val="001760C8"/>
    <w:rsid w:val="00192749"/>
    <w:rsid w:val="00195D47"/>
    <w:rsid w:val="00197CAB"/>
    <w:rsid w:val="001A1E1C"/>
    <w:rsid w:val="001A4354"/>
    <w:rsid w:val="001A5D93"/>
    <w:rsid w:val="001B2A78"/>
    <w:rsid w:val="001C00EF"/>
    <w:rsid w:val="001D0DD1"/>
    <w:rsid w:val="001D244A"/>
    <w:rsid w:val="001E1018"/>
    <w:rsid w:val="00203534"/>
    <w:rsid w:val="0020579B"/>
    <w:rsid w:val="00214E5E"/>
    <w:rsid w:val="00217313"/>
    <w:rsid w:val="002227F3"/>
    <w:rsid w:val="00232ED5"/>
    <w:rsid w:val="0024338F"/>
    <w:rsid w:val="00257DB3"/>
    <w:rsid w:val="0026053A"/>
    <w:rsid w:val="00266A7A"/>
    <w:rsid w:val="00276198"/>
    <w:rsid w:val="002767D4"/>
    <w:rsid w:val="00284165"/>
    <w:rsid w:val="00284FC3"/>
    <w:rsid w:val="00285EF1"/>
    <w:rsid w:val="002A0415"/>
    <w:rsid w:val="002A19D2"/>
    <w:rsid w:val="002A4567"/>
    <w:rsid w:val="002A56DE"/>
    <w:rsid w:val="002B782D"/>
    <w:rsid w:val="002C1886"/>
    <w:rsid w:val="002C26B0"/>
    <w:rsid w:val="002C327B"/>
    <w:rsid w:val="002D3C8F"/>
    <w:rsid w:val="002D7DF3"/>
    <w:rsid w:val="002E12D8"/>
    <w:rsid w:val="002F2C61"/>
    <w:rsid w:val="002F5629"/>
    <w:rsid w:val="002F6E88"/>
    <w:rsid w:val="002F7FED"/>
    <w:rsid w:val="003009D3"/>
    <w:rsid w:val="0031322C"/>
    <w:rsid w:val="003163AC"/>
    <w:rsid w:val="00317A49"/>
    <w:rsid w:val="00317DFA"/>
    <w:rsid w:val="0032018C"/>
    <w:rsid w:val="00324751"/>
    <w:rsid w:val="00331E01"/>
    <w:rsid w:val="0033354B"/>
    <w:rsid w:val="003355CB"/>
    <w:rsid w:val="003469E4"/>
    <w:rsid w:val="00346F74"/>
    <w:rsid w:val="00352E4A"/>
    <w:rsid w:val="00363323"/>
    <w:rsid w:val="003650D1"/>
    <w:rsid w:val="003705FE"/>
    <w:rsid w:val="00374DB9"/>
    <w:rsid w:val="003811C8"/>
    <w:rsid w:val="0038772C"/>
    <w:rsid w:val="0038785C"/>
    <w:rsid w:val="00391448"/>
    <w:rsid w:val="003A2D9F"/>
    <w:rsid w:val="003A4B5B"/>
    <w:rsid w:val="003A576E"/>
    <w:rsid w:val="003A591F"/>
    <w:rsid w:val="003B3ED7"/>
    <w:rsid w:val="003D105B"/>
    <w:rsid w:val="003D549A"/>
    <w:rsid w:val="003D56D6"/>
    <w:rsid w:val="003E2915"/>
    <w:rsid w:val="003E6AC1"/>
    <w:rsid w:val="003F47B2"/>
    <w:rsid w:val="0040035C"/>
    <w:rsid w:val="00400F4B"/>
    <w:rsid w:val="00404DC7"/>
    <w:rsid w:val="00407AE5"/>
    <w:rsid w:val="00407D0E"/>
    <w:rsid w:val="004130E5"/>
    <w:rsid w:val="004131C8"/>
    <w:rsid w:val="00413C42"/>
    <w:rsid w:val="00414E62"/>
    <w:rsid w:val="00420840"/>
    <w:rsid w:val="00425F1B"/>
    <w:rsid w:val="004303EC"/>
    <w:rsid w:val="004304F8"/>
    <w:rsid w:val="004430B5"/>
    <w:rsid w:val="00443145"/>
    <w:rsid w:val="00443196"/>
    <w:rsid w:val="00444CFF"/>
    <w:rsid w:val="00446BA1"/>
    <w:rsid w:val="004513F5"/>
    <w:rsid w:val="00457906"/>
    <w:rsid w:val="004624E2"/>
    <w:rsid w:val="00463B4C"/>
    <w:rsid w:val="00464C15"/>
    <w:rsid w:val="00465718"/>
    <w:rsid w:val="00466E7E"/>
    <w:rsid w:val="00467B46"/>
    <w:rsid w:val="00481D33"/>
    <w:rsid w:val="00484AE6"/>
    <w:rsid w:val="004B0D6E"/>
    <w:rsid w:val="004D0B03"/>
    <w:rsid w:val="004D7F07"/>
    <w:rsid w:val="004E07B2"/>
    <w:rsid w:val="004E1C18"/>
    <w:rsid w:val="004E462A"/>
    <w:rsid w:val="004F04E2"/>
    <w:rsid w:val="004F05E6"/>
    <w:rsid w:val="004F0A07"/>
    <w:rsid w:val="004F1E4B"/>
    <w:rsid w:val="004F1E9A"/>
    <w:rsid w:val="0051296C"/>
    <w:rsid w:val="005223AF"/>
    <w:rsid w:val="00522685"/>
    <w:rsid w:val="005263EA"/>
    <w:rsid w:val="005358A5"/>
    <w:rsid w:val="00536D88"/>
    <w:rsid w:val="005378DD"/>
    <w:rsid w:val="0055560B"/>
    <w:rsid w:val="0055685A"/>
    <w:rsid w:val="00556A5E"/>
    <w:rsid w:val="00557C5F"/>
    <w:rsid w:val="00562AEF"/>
    <w:rsid w:val="005750BA"/>
    <w:rsid w:val="005775F8"/>
    <w:rsid w:val="005777B1"/>
    <w:rsid w:val="00583E2F"/>
    <w:rsid w:val="00584520"/>
    <w:rsid w:val="00586007"/>
    <w:rsid w:val="00587875"/>
    <w:rsid w:val="005A0A53"/>
    <w:rsid w:val="005A2909"/>
    <w:rsid w:val="005B5863"/>
    <w:rsid w:val="005D5537"/>
    <w:rsid w:val="005D6DB5"/>
    <w:rsid w:val="005E1013"/>
    <w:rsid w:val="005E102D"/>
    <w:rsid w:val="005E337E"/>
    <w:rsid w:val="005E504F"/>
    <w:rsid w:val="005F4391"/>
    <w:rsid w:val="005F4E34"/>
    <w:rsid w:val="005F4EEF"/>
    <w:rsid w:val="0060130D"/>
    <w:rsid w:val="00612BE0"/>
    <w:rsid w:val="006142E4"/>
    <w:rsid w:val="00615CDB"/>
    <w:rsid w:val="00625748"/>
    <w:rsid w:val="006331D7"/>
    <w:rsid w:val="00633851"/>
    <w:rsid w:val="00634E75"/>
    <w:rsid w:val="00640978"/>
    <w:rsid w:val="00640F57"/>
    <w:rsid w:val="00641071"/>
    <w:rsid w:val="00642587"/>
    <w:rsid w:val="0064279A"/>
    <w:rsid w:val="0064305C"/>
    <w:rsid w:val="0064604A"/>
    <w:rsid w:val="006478FD"/>
    <w:rsid w:val="006513C6"/>
    <w:rsid w:val="006552F0"/>
    <w:rsid w:val="0065689C"/>
    <w:rsid w:val="00656C93"/>
    <w:rsid w:val="006630B8"/>
    <w:rsid w:val="006644DE"/>
    <w:rsid w:val="00671ADC"/>
    <w:rsid w:val="006801A8"/>
    <w:rsid w:val="00681597"/>
    <w:rsid w:val="00693619"/>
    <w:rsid w:val="00693A0A"/>
    <w:rsid w:val="006A1513"/>
    <w:rsid w:val="006A615A"/>
    <w:rsid w:val="006A7FC8"/>
    <w:rsid w:val="006B3454"/>
    <w:rsid w:val="006B647C"/>
    <w:rsid w:val="006C4804"/>
    <w:rsid w:val="006D5A73"/>
    <w:rsid w:val="006D6121"/>
    <w:rsid w:val="006D6F7B"/>
    <w:rsid w:val="006E187D"/>
    <w:rsid w:val="006F280C"/>
    <w:rsid w:val="006F3CA2"/>
    <w:rsid w:val="006F6744"/>
    <w:rsid w:val="006F6EA0"/>
    <w:rsid w:val="0070316D"/>
    <w:rsid w:val="00715D76"/>
    <w:rsid w:val="00721860"/>
    <w:rsid w:val="00722C6C"/>
    <w:rsid w:val="00723AA9"/>
    <w:rsid w:val="00727D8F"/>
    <w:rsid w:val="00735584"/>
    <w:rsid w:val="00750F11"/>
    <w:rsid w:val="00751FA8"/>
    <w:rsid w:val="00752152"/>
    <w:rsid w:val="00757D37"/>
    <w:rsid w:val="00777004"/>
    <w:rsid w:val="00785B9C"/>
    <w:rsid w:val="00793F33"/>
    <w:rsid w:val="007A1AC7"/>
    <w:rsid w:val="007B1F7A"/>
    <w:rsid w:val="007B7162"/>
    <w:rsid w:val="007C3C30"/>
    <w:rsid w:val="007D6BFE"/>
    <w:rsid w:val="007E2E8C"/>
    <w:rsid w:val="007E2ED2"/>
    <w:rsid w:val="007F2A61"/>
    <w:rsid w:val="007F2D27"/>
    <w:rsid w:val="007F39BC"/>
    <w:rsid w:val="007F473F"/>
    <w:rsid w:val="00815820"/>
    <w:rsid w:val="00816548"/>
    <w:rsid w:val="00817458"/>
    <w:rsid w:val="008302D6"/>
    <w:rsid w:val="00834ABD"/>
    <w:rsid w:val="00836694"/>
    <w:rsid w:val="008421E2"/>
    <w:rsid w:val="00842BB5"/>
    <w:rsid w:val="0084383C"/>
    <w:rsid w:val="00850BD3"/>
    <w:rsid w:val="00870118"/>
    <w:rsid w:val="00872BC5"/>
    <w:rsid w:val="0087524C"/>
    <w:rsid w:val="00881064"/>
    <w:rsid w:val="00894C65"/>
    <w:rsid w:val="008A0F87"/>
    <w:rsid w:val="008B46BC"/>
    <w:rsid w:val="008C2BF8"/>
    <w:rsid w:val="008D26D9"/>
    <w:rsid w:val="008D63A7"/>
    <w:rsid w:val="008E6C1F"/>
    <w:rsid w:val="008F29C0"/>
    <w:rsid w:val="008F4ECD"/>
    <w:rsid w:val="009006AB"/>
    <w:rsid w:val="009057A6"/>
    <w:rsid w:val="009078C3"/>
    <w:rsid w:val="00912BD6"/>
    <w:rsid w:val="00913514"/>
    <w:rsid w:val="0091620C"/>
    <w:rsid w:val="00917EC9"/>
    <w:rsid w:val="00925DD9"/>
    <w:rsid w:val="009271AB"/>
    <w:rsid w:val="00933AA0"/>
    <w:rsid w:val="009347EE"/>
    <w:rsid w:val="0094160A"/>
    <w:rsid w:val="00944D2B"/>
    <w:rsid w:val="00945FA7"/>
    <w:rsid w:val="00947FBA"/>
    <w:rsid w:val="00952D23"/>
    <w:rsid w:val="00954AA9"/>
    <w:rsid w:val="009606BE"/>
    <w:rsid w:val="009607F9"/>
    <w:rsid w:val="00961386"/>
    <w:rsid w:val="00962BC8"/>
    <w:rsid w:val="00966F66"/>
    <w:rsid w:val="00973D5C"/>
    <w:rsid w:val="00975A1A"/>
    <w:rsid w:val="00987099"/>
    <w:rsid w:val="00992211"/>
    <w:rsid w:val="00993CD7"/>
    <w:rsid w:val="009A706F"/>
    <w:rsid w:val="009B2062"/>
    <w:rsid w:val="009B41B8"/>
    <w:rsid w:val="009B7646"/>
    <w:rsid w:val="009C2FAF"/>
    <w:rsid w:val="009C74BA"/>
    <w:rsid w:val="009D591E"/>
    <w:rsid w:val="009D715E"/>
    <w:rsid w:val="009E18C6"/>
    <w:rsid w:val="009E32A2"/>
    <w:rsid w:val="009E4D3C"/>
    <w:rsid w:val="009F68CA"/>
    <w:rsid w:val="00A00821"/>
    <w:rsid w:val="00A03CBA"/>
    <w:rsid w:val="00A215C5"/>
    <w:rsid w:val="00A34AC6"/>
    <w:rsid w:val="00A42646"/>
    <w:rsid w:val="00A46068"/>
    <w:rsid w:val="00A51DA9"/>
    <w:rsid w:val="00A545CB"/>
    <w:rsid w:val="00A562C0"/>
    <w:rsid w:val="00A62D61"/>
    <w:rsid w:val="00A6534D"/>
    <w:rsid w:val="00A66B4F"/>
    <w:rsid w:val="00A820BE"/>
    <w:rsid w:val="00A82984"/>
    <w:rsid w:val="00A87CA6"/>
    <w:rsid w:val="00A909EF"/>
    <w:rsid w:val="00A92B81"/>
    <w:rsid w:val="00A95664"/>
    <w:rsid w:val="00A96CB2"/>
    <w:rsid w:val="00AA197E"/>
    <w:rsid w:val="00AA45E4"/>
    <w:rsid w:val="00AB31E4"/>
    <w:rsid w:val="00AC0B65"/>
    <w:rsid w:val="00AC21A4"/>
    <w:rsid w:val="00AC76FA"/>
    <w:rsid w:val="00AD1C29"/>
    <w:rsid w:val="00AD6216"/>
    <w:rsid w:val="00AF0F8F"/>
    <w:rsid w:val="00AF5C72"/>
    <w:rsid w:val="00AF6D0E"/>
    <w:rsid w:val="00B04048"/>
    <w:rsid w:val="00B11029"/>
    <w:rsid w:val="00B2053D"/>
    <w:rsid w:val="00B21FAC"/>
    <w:rsid w:val="00B4728A"/>
    <w:rsid w:val="00B507D2"/>
    <w:rsid w:val="00B51577"/>
    <w:rsid w:val="00B66621"/>
    <w:rsid w:val="00B70651"/>
    <w:rsid w:val="00B71F1B"/>
    <w:rsid w:val="00B73492"/>
    <w:rsid w:val="00B775BC"/>
    <w:rsid w:val="00B83328"/>
    <w:rsid w:val="00B9325F"/>
    <w:rsid w:val="00BA4083"/>
    <w:rsid w:val="00BB0231"/>
    <w:rsid w:val="00BB1657"/>
    <w:rsid w:val="00BB2F43"/>
    <w:rsid w:val="00BB327E"/>
    <w:rsid w:val="00BB3F7F"/>
    <w:rsid w:val="00BB6F66"/>
    <w:rsid w:val="00BC09DF"/>
    <w:rsid w:val="00BC296B"/>
    <w:rsid w:val="00BC7E72"/>
    <w:rsid w:val="00BD35D8"/>
    <w:rsid w:val="00BE4EA4"/>
    <w:rsid w:val="00BE5187"/>
    <w:rsid w:val="00BF6F51"/>
    <w:rsid w:val="00BF7514"/>
    <w:rsid w:val="00C00444"/>
    <w:rsid w:val="00C06568"/>
    <w:rsid w:val="00C07454"/>
    <w:rsid w:val="00C074F0"/>
    <w:rsid w:val="00C07A4A"/>
    <w:rsid w:val="00C13FD7"/>
    <w:rsid w:val="00C178ED"/>
    <w:rsid w:val="00C21686"/>
    <w:rsid w:val="00C26FAA"/>
    <w:rsid w:val="00C410EB"/>
    <w:rsid w:val="00C470DD"/>
    <w:rsid w:val="00C50A66"/>
    <w:rsid w:val="00C57856"/>
    <w:rsid w:val="00C600C2"/>
    <w:rsid w:val="00C64946"/>
    <w:rsid w:val="00C653AC"/>
    <w:rsid w:val="00C67BD5"/>
    <w:rsid w:val="00C7219D"/>
    <w:rsid w:val="00C774C2"/>
    <w:rsid w:val="00C83042"/>
    <w:rsid w:val="00C83205"/>
    <w:rsid w:val="00C8521C"/>
    <w:rsid w:val="00C9056B"/>
    <w:rsid w:val="00C95E26"/>
    <w:rsid w:val="00CA4700"/>
    <w:rsid w:val="00CA7205"/>
    <w:rsid w:val="00CB45D6"/>
    <w:rsid w:val="00CC5C14"/>
    <w:rsid w:val="00CD530E"/>
    <w:rsid w:val="00CE1096"/>
    <w:rsid w:val="00CE6F74"/>
    <w:rsid w:val="00CF320A"/>
    <w:rsid w:val="00CF326B"/>
    <w:rsid w:val="00D00FDB"/>
    <w:rsid w:val="00D01434"/>
    <w:rsid w:val="00D06685"/>
    <w:rsid w:val="00D070A1"/>
    <w:rsid w:val="00D13D94"/>
    <w:rsid w:val="00D15202"/>
    <w:rsid w:val="00D331FB"/>
    <w:rsid w:val="00D352BC"/>
    <w:rsid w:val="00D45169"/>
    <w:rsid w:val="00D4532F"/>
    <w:rsid w:val="00D610B8"/>
    <w:rsid w:val="00D6632F"/>
    <w:rsid w:val="00D66587"/>
    <w:rsid w:val="00D76E89"/>
    <w:rsid w:val="00D801E2"/>
    <w:rsid w:val="00D82B3D"/>
    <w:rsid w:val="00D84D7D"/>
    <w:rsid w:val="00D85D5F"/>
    <w:rsid w:val="00D962FC"/>
    <w:rsid w:val="00DA12CF"/>
    <w:rsid w:val="00DA3AA6"/>
    <w:rsid w:val="00DA61B2"/>
    <w:rsid w:val="00DB6BC6"/>
    <w:rsid w:val="00DC11AE"/>
    <w:rsid w:val="00DC4533"/>
    <w:rsid w:val="00DD22BF"/>
    <w:rsid w:val="00DD3296"/>
    <w:rsid w:val="00DD7131"/>
    <w:rsid w:val="00DD728D"/>
    <w:rsid w:val="00DE205B"/>
    <w:rsid w:val="00DE2250"/>
    <w:rsid w:val="00DE5736"/>
    <w:rsid w:val="00DF02BD"/>
    <w:rsid w:val="00E027ED"/>
    <w:rsid w:val="00E10AA4"/>
    <w:rsid w:val="00E12C2D"/>
    <w:rsid w:val="00E16C86"/>
    <w:rsid w:val="00E22953"/>
    <w:rsid w:val="00E24403"/>
    <w:rsid w:val="00E40E06"/>
    <w:rsid w:val="00E4225D"/>
    <w:rsid w:val="00E4226A"/>
    <w:rsid w:val="00E4379F"/>
    <w:rsid w:val="00E46CD0"/>
    <w:rsid w:val="00E61C3D"/>
    <w:rsid w:val="00E653E9"/>
    <w:rsid w:val="00E66028"/>
    <w:rsid w:val="00E709B0"/>
    <w:rsid w:val="00E74D5F"/>
    <w:rsid w:val="00E8547A"/>
    <w:rsid w:val="00EA27A9"/>
    <w:rsid w:val="00EA753A"/>
    <w:rsid w:val="00EB76F5"/>
    <w:rsid w:val="00EC3EE2"/>
    <w:rsid w:val="00EC4FA3"/>
    <w:rsid w:val="00ED2A0D"/>
    <w:rsid w:val="00ED2F2C"/>
    <w:rsid w:val="00ED6078"/>
    <w:rsid w:val="00EE6476"/>
    <w:rsid w:val="00EF35D7"/>
    <w:rsid w:val="00EF4F2E"/>
    <w:rsid w:val="00F0798E"/>
    <w:rsid w:val="00F07A87"/>
    <w:rsid w:val="00F152DC"/>
    <w:rsid w:val="00F2309C"/>
    <w:rsid w:val="00F44F67"/>
    <w:rsid w:val="00F4622A"/>
    <w:rsid w:val="00F553DC"/>
    <w:rsid w:val="00F62430"/>
    <w:rsid w:val="00F6351F"/>
    <w:rsid w:val="00F63E60"/>
    <w:rsid w:val="00F64F42"/>
    <w:rsid w:val="00F66FA7"/>
    <w:rsid w:val="00F67537"/>
    <w:rsid w:val="00F67D50"/>
    <w:rsid w:val="00F7060A"/>
    <w:rsid w:val="00F767E1"/>
    <w:rsid w:val="00F9670F"/>
    <w:rsid w:val="00FA0CDC"/>
    <w:rsid w:val="00FA713D"/>
    <w:rsid w:val="00FB0343"/>
    <w:rsid w:val="00FC5BCE"/>
    <w:rsid w:val="00FD3CD8"/>
    <w:rsid w:val="00FE1D73"/>
    <w:rsid w:val="00FE5B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EDD2F938-EE5D-4D00-8EAB-DE912D02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64604A"/>
    <w:rPr>
      <w:sz w:val="16"/>
      <w:szCs w:val="16"/>
    </w:rPr>
  </w:style>
  <w:style w:type="paragraph" w:styleId="CommentText">
    <w:name w:val="annotation text"/>
    <w:basedOn w:val="Normal"/>
    <w:link w:val="CommentTextChar"/>
    <w:uiPriority w:val="99"/>
    <w:unhideWhenUsed/>
    <w:rsid w:val="0064604A"/>
    <w:pPr>
      <w:spacing w:line="240" w:lineRule="auto"/>
    </w:pPr>
    <w:rPr>
      <w:sz w:val="20"/>
      <w:szCs w:val="20"/>
    </w:rPr>
  </w:style>
  <w:style w:type="character" w:customStyle="1" w:styleId="CommentTextChar">
    <w:name w:val="Comment Text Char"/>
    <w:basedOn w:val="DefaultParagraphFont"/>
    <w:link w:val="CommentText"/>
    <w:uiPriority w:val="99"/>
    <w:rsid w:val="0064604A"/>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64604A"/>
    <w:rPr>
      <w:b/>
      <w:bCs/>
    </w:rPr>
  </w:style>
  <w:style w:type="character" w:customStyle="1" w:styleId="CommentSubjectChar">
    <w:name w:val="Comment Subject Char"/>
    <w:basedOn w:val="CommentTextChar"/>
    <w:link w:val="CommentSubject"/>
    <w:uiPriority w:val="99"/>
    <w:semiHidden/>
    <w:rsid w:val="0064604A"/>
    <w:rPr>
      <w:rFonts w:ascii="Calibri" w:hAnsi="Calibri"/>
      <w:b/>
      <w:bCs/>
      <w:sz w:val="20"/>
      <w:szCs w:val="20"/>
      <w:lang w:val="en-GB"/>
    </w:rPr>
  </w:style>
  <w:style w:type="paragraph" w:styleId="Revision">
    <w:name w:val="Revision"/>
    <w:hidden/>
    <w:uiPriority w:val="99"/>
    <w:semiHidden/>
    <w:rsid w:val="00DE5736"/>
    <w:pPr>
      <w:spacing w:after="0" w:line="240" w:lineRule="auto"/>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54790381">
      <w:bodyDiv w:val="1"/>
      <w:marLeft w:val="0"/>
      <w:marRight w:val="0"/>
      <w:marTop w:val="0"/>
      <w:marBottom w:val="0"/>
      <w:divBdr>
        <w:top w:val="none" w:sz="0" w:space="0" w:color="auto"/>
        <w:left w:val="none" w:sz="0" w:space="0" w:color="auto"/>
        <w:bottom w:val="none" w:sz="0" w:space="0" w:color="auto"/>
        <w:right w:val="none" w:sz="0" w:space="0" w:color="auto"/>
      </w:divBdr>
      <w:divsChild>
        <w:div w:id="909540261">
          <w:marLeft w:val="0"/>
          <w:marRight w:val="0"/>
          <w:marTop w:val="0"/>
          <w:marBottom w:val="0"/>
          <w:divBdr>
            <w:top w:val="none" w:sz="0" w:space="0" w:color="auto"/>
            <w:left w:val="none" w:sz="0" w:space="0" w:color="auto"/>
            <w:bottom w:val="none" w:sz="0" w:space="0" w:color="auto"/>
            <w:right w:val="none" w:sz="0" w:space="0" w:color="auto"/>
          </w:divBdr>
        </w:div>
      </w:divsChild>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27523228">
      <w:bodyDiv w:val="1"/>
      <w:marLeft w:val="0"/>
      <w:marRight w:val="0"/>
      <w:marTop w:val="0"/>
      <w:marBottom w:val="0"/>
      <w:divBdr>
        <w:top w:val="none" w:sz="0" w:space="0" w:color="auto"/>
        <w:left w:val="none" w:sz="0" w:space="0" w:color="auto"/>
        <w:bottom w:val="none" w:sz="0" w:space="0" w:color="auto"/>
        <w:right w:val="none" w:sz="0" w:space="0" w:color="auto"/>
      </w:divBdr>
      <w:divsChild>
        <w:div w:id="482935145">
          <w:marLeft w:val="0"/>
          <w:marRight w:val="0"/>
          <w:marTop w:val="0"/>
          <w:marBottom w:val="0"/>
          <w:divBdr>
            <w:top w:val="none" w:sz="0" w:space="0" w:color="auto"/>
            <w:left w:val="none" w:sz="0" w:space="0" w:color="auto"/>
            <w:bottom w:val="none" w:sz="0" w:space="0" w:color="auto"/>
            <w:right w:val="none" w:sz="0" w:space="0" w:color="auto"/>
          </w:divBdr>
        </w:div>
      </w:divsChild>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61879884">
      <w:bodyDiv w:val="1"/>
      <w:marLeft w:val="0"/>
      <w:marRight w:val="0"/>
      <w:marTop w:val="0"/>
      <w:marBottom w:val="0"/>
      <w:divBdr>
        <w:top w:val="none" w:sz="0" w:space="0" w:color="auto"/>
        <w:left w:val="none" w:sz="0" w:space="0" w:color="auto"/>
        <w:bottom w:val="none" w:sz="0" w:space="0" w:color="auto"/>
        <w:right w:val="none" w:sz="0" w:space="0" w:color="auto"/>
      </w:divBdr>
    </w:div>
    <w:div w:id="104047855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7849733">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48363784">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791245562">
      <w:bodyDiv w:val="1"/>
      <w:marLeft w:val="0"/>
      <w:marRight w:val="0"/>
      <w:marTop w:val="0"/>
      <w:marBottom w:val="0"/>
      <w:divBdr>
        <w:top w:val="none" w:sz="0" w:space="0" w:color="auto"/>
        <w:left w:val="none" w:sz="0" w:space="0" w:color="auto"/>
        <w:bottom w:val="none" w:sz="0" w:space="0" w:color="auto"/>
        <w:right w:val="none" w:sz="0" w:space="0" w:color="auto"/>
      </w:divBdr>
    </w:div>
    <w:div w:id="1816142968">
      <w:bodyDiv w:val="1"/>
      <w:marLeft w:val="0"/>
      <w:marRight w:val="0"/>
      <w:marTop w:val="0"/>
      <w:marBottom w:val="0"/>
      <w:divBdr>
        <w:top w:val="none" w:sz="0" w:space="0" w:color="auto"/>
        <w:left w:val="none" w:sz="0" w:space="0" w:color="auto"/>
        <w:bottom w:val="none" w:sz="0" w:space="0" w:color="auto"/>
        <w:right w:val="none" w:sz="0" w:space="0" w:color="auto"/>
      </w:divBdr>
    </w:div>
    <w:div w:id="2026637705">
      <w:bodyDiv w:val="1"/>
      <w:marLeft w:val="0"/>
      <w:marRight w:val="0"/>
      <w:marTop w:val="0"/>
      <w:marBottom w:val="0"/>
      <w:divBdr>
        <w:top w:val="none" w:sz="0" w:space="0" w:color="auto"/>
        <w:left w:val="none" w:sz="0" w:space="0" w:color="auto"/>
        <w:bottom w:val="none" w:sz="0" w:space="0" w:color="auto"/>
        <w:right w:val="none" w:sz="0" w:space="0" w:color="auto"/>
      </w:divBdr>
    </w:div>
    <w:div w:id="2084522979">
      <w:bodyDiv w:val="1"/>
      <w:marLeft w:val="0"/>
      <w:marRight w:val="0"/>
      <w:marTop w:val="0"/>
      <w:marBottom w:val="0"/>
      <w:divBdr>
        <w:top w:val="none" w:sz="0" w:space="0" w:color="auto"/>
        <w:left w:val="none" w:sz="0" w:space="0" w:color="auto"/>
        <w:bottom w:val="none" w:sz="0" w:space="0" w:color="auto"/>
        <w:right w:val="none" w:sz="0" w:space="0" w:color="auto"/>
      </w:divBdr>
    </w:div>
    <w:div w:id="212785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1767A"/>
    <w:rsid w:val="0025012D"/>
    <w:rsid w:val="00346F74"/>
    <w:rsid w:val="00466E7E"/>
    <w:rsid w:val="004A4F10"/>
    <w:rsid w:val="005223AF"/>
    <w:rsid w:val="005358A5"/>
    <w:rsid w:val="00541D9A"/>
    <w:rsid w:val="00550C85"/>
    <w:rsid w:val="00612663"/>
    <w:rsid w:val="0067158E"/>
    <w:rsid w:val="00881064"/>
    <w:rsid w:val="009606BE"/>
    <w:rsid w:val="00AA1E3B"/>
    <w:rsid w:val="00AC0B65"/>
    <w:rsid w:val="00B765D7"/>
    <w:rsid w:val="00B775BC"/>
    <w:rsid w:val="00CB6CF1"/>
    <w:rsid w:val="00CD0067"/>
    <w:rsid w:val="00D105B8"/>
    <w:rsid w:val="00D43D3B"/>
    <w:rsid w:val="00DB2F17"/>
    <w:rsid w:val="00E8598A"/>
    <w:rsid w:val="00F67537"/>
    <w:rsid w:val="00F755E3"/>
    <w:rsid w:val="00FC0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3edf21e62b9cb067ab700209abdbaf74">
  <xsd:schema xmlns:xsd="http://www.w3.org/2001/XMLSchema" xmlns:xs="http://www.w3.org/2001/XMLSchema" xmlns:p="http://schemas.microsoft.com/office/2006/metadata/properties" xmlns:ns2="0e716bc8-b849-4889-99f3-106f1a731a15" targetNamespace="http://schemas.microsoft.com/office/2006/metadata/properties" ma:root="true" ma:fieldsID="0ed8f7a9565099ea751bf96809e8896d"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82608D4F-18A2-4AC2-8B5E-32DF24455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18FE4B-E099-497C-93B8-5F7082A996AE}">
  <ds:schemaRefs>
    <ds:schemaRef ds:uri="http://schemas.microsoft.com/sharepoint/v3/contenttype/forms"/>
  </ds:schemaRefs>
</ds:datastoreItem>
</file>

<file path=customXml/itemProps6.xml><?xml version="1.0" encoding="utf-8"?>
<ds:datastoreItem xmlns:ds="http://schemas.openxmlformats.org/officeDocument/2006/customXml" ds:itemID="{7F8077B5-509D-4878-96A9-B4B38181553D}">
  <ds:schemaRefs>
    <ds:schemaRef ds:uri="http://schemas.openxmlformats.org/package/2006/metadata/core-properties"/>
    <ds:schemaRef ds:uri="0e716bc8-b849-4889-99f3-106f1a731a15"/>
    <ds:schemaRef ds:uri="http://schemas.microsoft.com/office/2006/documentManagement/types"/>
    <ds:schemaRef ds:uri="http://www.w3.org/XML/1998/namespace"/>
    <ds:schemaRef ds:uri="http://purl.org/dc/dcmitype/"/>
    <ds:schemaRef ds:uri="http://schemas.microsoft.com/office/infopath/2007/PartnerControls"/>
    <ds:schemaRef ds:uri="http://purl.org/dc/elements/1.1/"/>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6</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Finance Business Partner</vt:lpstr>
    </vt:vector>
  </TitlesOfParts>
  <Manager>Human Resources</Manager>
  <Company>RehabWorks</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Deputy Commercial Finance Director</dc:title>
  <dc:subject>Enter Sub-Title Of Policy</dc:subject>
  <dc:creator>Human Resources</dc:creator>
  <cp:keywords>TBC</cp:keywords>
  <dc:description>V1.1</dc:description>
  <cp:lastModifiedBy>Joanne Hartley</cp:lastModifiedBy>
  <cp:revision>2</cp:revision>
  <cp:lastPrinted>2018-03-16T20:36:00Z</cp:lastPrinted>
  <dcterms:created xsi:type="dcterms:W3CDTF">2026-01-16T10:27:00Z</dcterms:created>
  <dcterms:modified xsi:type="dcterms:W3CDTF">2026-01-16T10:27:00Z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ies>
</file>