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F71E0EC" w:rsidR="005E1013" w:rsidRDefault="00ED22D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E6CA5">
            <w:rPr>
              <w:rStyle w:val="TitleChar"/>
            </w:rPr>
            <w:t>Assistant Practitioner – Disability, Health, &amp; Wellbeing</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E8B0820" w:rsidR="00966F66" w:rsidRPr="000027EE" w:rsidRDefault="00254D53" w:rsidP="4227B2D3">
            <w:pPr>
              <w:spacing w:before="100" w:after="100"/>
              <w:rPr>
                <w:rFonts w:eastAsia="Gill Sans MT" w:cs="Calibri"/>
                <w:szCs w:val="22"/>
              </w:rPr>
            </w:pPr>
            <w:r w:rsidRPr="00254D53">
              <w:rPr>
                <w:rFonts w:eastAsia="Gill Sans MT" w:cs="Calibri"/>
                <w:szCs w:val="22"/>
              </w:rPr>
              <w:t>Assistant Practitioner – Disability, Health &amp; Wellbeing</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4D87E9D" w:rsidR="00966F66" w:rsidRPr="000027EE" w:rsidRDefault="00CD73F7" w:rsidP="4227B2D3">
            <w:pPr>
              <w:spacing w:before="100" w:after="100"/>
              <w:rPr>
                <w:rFonts w:eastAsia="Gill Sans MT" w:cs="Calibri"/>
                <w:szCs w:val="22"/>
              </w:rPr>
            </w:pPr>
            <w:r w:rsidRPr="00CD73F7">
              <w:rPr>
                <w:rFonts w:eastAsia="Gill Sans MT" w:cs="Calibri"/>
                <w:szCs w:val="22"/>
              </w:rPr>
              <w:t>People Services Team (PST)</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4C1C322" w:rsidR="00966F66" w:rsidRPr="000027EE" w:rsidRDefault="009A4747" w:rsidP="4227B2D3">
            <w:pPr>
              <w:spacing w:before="100" w:after="100"/>
              <w:rPr>
                <w:rFonts w:eastAsia="Gill Sans MT" w:cs="Calibri"/>
                <w:szCs w:val="22"/>
              </w:rPr>
            </w:pPr>
            <w:r w:rsidRPr="009A4747">
              <w:rPr>
                <w:rFonts w:eastAsia="Gill Sans MT" w:cs="Calibri"/>
                <w:szCs w:val="22"/>
              </w:rPr>
              <w:t>Remote/home based with some travel and possible overnight stays to Vita Health Group centres as required.</w:t>
            </w:r>
          </w:p>
        </w:tc>
      </w:tr>
      <w:tr w:rsidR="00E05441" w14:paraId="49F50AE1" w14:textId="77777777" w:rsidTr="1E5E83AD">
        <w:tc>
          <w:tcPr>
            <w:tcW w:w="3256" w:type="dxa"/>
            <w:vAlign w:val="center"/>
          </w:tcPr>
          <w:p w14:paraId="5564684B" w14:textId="7D18E748" w:rsidR="00E05441" w:rsidRDefault="00E05441" w:rsidP="00966F66">
            <w:pPr>
              <w:spacing w:before="100" w:after="100"/>
            </w:pPr>
            <w:r>
              <w:t>Hours:</w:t>
            </w:r>
          </w:p>
        </w:tc>
        <w:tc>
          <w:tcPr>
            <w:tcW w:w="6706" w:type="dxa"/>
            <w:vAlign w:val="center"/>
          </w:tcPr>
          <w:p w14:paraId="0801D92B" w14:textId="33AFE684" w:rsidR="00E05441" w:rsidRPr="00E05441" w:rsidRDefault="00E05441" w:rsidP="00E05441">
            <w:pPr>
              <w:pStyle w:val="NoSpacing"/>
              <w:spacing w:before="40" w:after="40" w:line="276" w:lineRule="auto"/>
              <w:rPr>
                <w:rFonts w:cs="Calibri"/>
                <w:szCs w:val="23"/>
                <w:lang w:eastAsia="en-GB"/>
              </w:rPr>
            </w:pPr>
            <w:r>
              <w:rPr>
                <w:rFonts w:cs="Calibri"/>
                <w:lang w:eastAsia="en-GB"/>
              </w:rPr>
              <w:t xml:space="preserve">22.5 hours per week to be worked </w:t>
            </w:r>
            <w:r>
              <w:t>Tuesday 8am - 2pm, Wednesday 9:30am - 3:30pm, Thursday 11:30am - 6pm, Friday 8am - 2pm (30 minutes lunch each day)</w:t>
            </w:r>
          </w:p>
        </w:tc>
      </w:tr>
      <w:tr w:rsidR="00966F66" w14:paraId="61E91F65" w14:textId="77777777" w:rsidTr="1E5E83AD">
        <w:tc>
          <w:tcPr>
            <w:tcW w:w="3256" w:type="dxa"/>
            <w:vAlign w:val="center"/>
          </w:tcPr>
          <w:p w14:paraId="5DBDD5AC" w14:textId="0CD80869" w:rsidR="00966F66" w:rsidRDefault="00966F66" w:rsidP="00966F66">
            <w:pPr>
              <w:spacing w:before="100" w:after="100"/>
            </w:pPr>
            <w:r w:rsidRPr="004518CA">
              <w:t>Reporting to</w:t>
            </w:r>
            <w:r>
              <w:t>:</w:t>
            </w:r>
          </w:p>
        </w:tc>
        <w:tc>
          <w:tcPr>
            <w:tcW w:w="6706" w:type="dxa"/>
            <w:vAlign w:val="center"/>
          </w:tcPr>
          <w:p w14:paraId="56BB1388" w14:textId="7CF6A521" w:rsidR="00966F66" w:rsidRPr="000027EE" w:rsidRDefault="00273C52" w:rsidP="4227B2D3">
            <w:pPr>
              <w:spacing w:before="100" w:after="100"/>
              <w:rPr>
                <w:rFonts w:eastAsia="Gill Sans MT" w:cs="Calibri"/>
                <w:szCs w:val="22"/>
              </w:rPr>
            </w:pPr>
            <w:r w:rsidRPr="00273C52">
              <w:rPr>
                <w:rFonts w:eastAsia="Gill Sans MT" w:cs="Calibri"/>
                <w:szCs w:val="22"/>
              </w:rPr>
              <w:t>Head of People Services Team (PST</w:t>
            </w:r>
            <w:r>
              <w:rPr>
                <w:rFonts w:eastAsia="Gill Sans MT" w:cs="Calibri"/>
                <w:szCs w:val="22"/>
              </w:rPr>
              <w:t>)</w:t>
            </w:r>
          </w:p>
        </w:tc>
      </w:tr>
      <w:tr w:rsidR="00966F66" w14:paraId="13153721" w14:textId="77777777" w:rsidTr="1E5E83AD">
        <w:tc>
          <w:tcPr>
            <w:tcW w:w="3256" w:type="dxa"/>
            <w:vAlign w:val="center"/>
          </w:tcPr>
          <w:p w14:paraId="47666179" w14:textId="7A4CE1A6" w:rsidR="00966F66" w:rsidRDefault="00966F66" w:rsidP="00966F66">
            <w:pPr>
              <w:spacing w:before="100" w:after="100"/>
            </w:pPr>
            <w:r>
              <w:t>Direct reports:</w:t>
            </w:r>
          </w:p>
        </w:tc>
        <w:tc>
          <w:tcPr>
            <w:tcW w:w="6706" w:type="dxa"/>
            <w:vAlign w:val="center"/>
          </w:tcPr>
          <w:p w14:paraId="3DB63B7E" w14:textId="76853FDF" w:rsidR="00966F66" w:rsidRPr="000027EE" w:rsidRDefault="00765257" w:rsidP="4227B2D3">
            <w:pPr>
              <w:spacing w:before="100" w:after="100"/>
              <w:rPr>
                <w:rFonts w:eastAsia="Gill Sans MT" w:cs="Calibri"/>
                <w:szCs w:val="22"/>
              </w:rPr>
            </w:pPr>
            <w:r>
              <w:rPr>
                <w:rFonts w:eastAsia="Gill Sans MT" w:cs="Calibri"/>
                <w:szCs w:val="22"/>
              </w:rPr>
              <w:t>None</w:t>
            </w:r>
          </w:p>
        </w:tc>
      </w:tr>
      <w:tr w:rsidR="00966F66" w14:paraId="61110A87" w14:textId="77777777" w:rsidTr="1E5E83AD">
        <w:tc>
          <w:tcPr>
            <w:tcW w:w="3256" w:type="dxa"/>
            <w:vAlign w:val="center"/>
          </w:tcPr>
          <w:p w14:paraId="2FF0A51C" w14:textId="3C0733B8" w:rsidR="00966F66" w:rsidRDefault="00966F66" w:rsidP="00966F66">
            <w:pPr>
              <w:spacing w:before="100" w:after="100"/>
            </w:pPr>
            <w:r>
              <w:t xml:space="preserve">Accountable to: </w:t>
            </w:r>
          </w:p>
        </w:tc>
        <w:tc>
          <w:tcPr>
            <w:tcW w:w="6706" w:type="dxa"/>
            <w:vAlign w:val="center"/>
          </w:tcPr>
          <w:p w14:paraId="3DFAFEE2" w14:textId="318DEBAD" w:rsidR="00966F66" w:rsidRPr="000027EE" w:rsidRDefault="00765257" w:rsidP="00966F66">
            <w:pPr>
              <w:spacing w:before="100" w:after="100"/>
              <w:rPr>
                <w:rFonts w:cs="Calibri"/>
                <w:szCs w:val="22"/>
              </w:rPr>
            </w:pPr>
            <w:r>
              <w:rPr>
                <w:rFonts w:cs="Calibri"/>
                <w:szCs w:val="22"/>
              </w:rPr>
              <w:t>Head of People’s Services</w:t>
            </w:r>
          </w:p>
        </w:tc>
      </w:tr>
      <w:tr w:rsidR="00966F66" w14:paraId="459E1B5F" w14:textId="77777777" w:rsidTr="1E5E83AD">
        <w:tc>
          <w:tcPr>
            <w:tcW w:w="3256" w:type="dxa"/>
            <w:vAlign w:val="center"/>
          </w:tcPr>
          <w:p w14:paraId="65CDC27E" w14:textId="224E6F0F" w:rsidR="00966F66" w:rsidRDefault="00966F66" w:rsidP="00966F66">
            <w:pPr>
              <w:spacing w:before="100" w:after="100"/>
            </w:pPr>
            <w:r>
              <w:t>Responsible to:</w:t>
            </w:r>
          </w:p>
        </w:tc>
        <w:tc>
          <w:tcPr>
            <w:tcW w:w="6706" w:type="dxa"/>
            <w:vAlign w:val="center"/>
          </w:tcPr>
          <w:p w14:paraId="21AB59BB" w14:textId="269378CF" w:rsidR="00966F66" w:rsidRPr="000027EE" w:rsidRDefault="00765257" w:rsidP="00966F66">
            <w:pPr>
              <w:spacing w:before="100" w:after="100"/>
              <w:rPr>
                <w:rFonts w:cs="Calibri"/>
                <w:szCs w:val="22"/>
              </w:rPr>
            </w:pPr>
            <w:r>
              <w:rPr>
                <w:rFonts w:cs="Calibri"/>
                <w:szCs w:val="22"/>
              </w:rPr>
              <w:t>Head of People’s Services</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DD995B0" w:rsidR="00966F66" w:rsidRPr="000027EE" w:rsidRDefault="00B24BB1" w:rsidP="000027EE">
            <w:pPr>
              <w:spacing w:before="100" w:after="100" w:line="276" w:lineRule="auto"/>
              <w:rPr>
                <w:rFonts w:eastAsia="Calibri" w:cs="Calibri"/>
                <w:szCs w:val="22"/>
              </w:rPr>
            </w:pPr>
            <w:r w:rsidRPr="00B24BB1">
              <w:rPr>
                <w:rFonts w:eastAsia="Calibri" w:cs="Calibri"/>
                <w:szCs w:val="22"/>
              </w:rPr>
              <w:t>Responsible for ordering all requirements under the Reasonable Adjustment process. Documenting the reasonable adjustment using a process set by the Head of service. Working very closely with the operational team.  The role also reports into the senior leadership team on issues relating to risk.</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793C5C0" w14:textId="77777777" w:rsidR="00765257" w:rsidRPr="00521BEF" w:rsidRDefault="00765257" w:rsidP="00765257">
            <w:pPr>
              <w:pStyle w:val="ListParagraph"/>
              <w:numPr>
                <w:ilvl w:val="0"/>
                <w:numId w:val="11"/>
              </w:numPr>
              <w:rPr>
                <w:rFonts w:eastAsia="Times New Roman" w:cs="Calibri"/>
                <w:color w:val="2D2D2D"/>
                <w:szCs w:val="22"/>
                <w:lang w:eastAsia="en-GB"/>
              </w:rPr>
            </w:pPr>
            <w:r>
              <w:rPr>
                <w:rFonts w:eastAsia="Times New Roman" w:cs="Calibri"/>
                <w:color w:val="2D2D2D"/>
                <w:kern w:val="0"/>
                <w:szCs w:val="22"/>
                <w:lang w:val="en-US" w:eastAsia="en-GB"/>
              </w:rPr>
              <w:t>Ensure all requests for equipment under the reasonable adjustment process are actioned in a timely manner.</w:t>
            </w:r>
          </w:p>
          <w:p w14:paraId="3B1618FD" w14:textId="77777777" w:rsidR="00765257" w:rsidRPr="00521BEF" w:rsidRDefault="00765257" w:rsidP="00765257">
            <w:pPr>
              <w:pStyle w:val="ListParagraph"/>
              <w:numPr>
                <w:ilvl w:val="0"/>
                <w:numId w:val="11"/>
              </w:numPr>
              <w:rPr>
                <w:rFonts w:eastAsia="Times New Roman" w:cs="Calibri"/>
                <w:color w:val="2D2D2D"/>
                <w:szCs w:val="22"/>
                <w:lang w:eastAsia="en-GB"/>
              </w:rPr>
            </w:pPr>
            <w:r>
              <w:rPr>
                <w:rFonts w:eastAsia="Times New Roman" w:cs="Calibri"/>
                <w:color w:val="2D2D2D"/>
                <w:kern w:val="0"/>
                <w:szCs w:val="22"/>
                <w:lang w:val="en-US" w:eastAsia="en-GB"/>
              </w:rPr>
              <w:t>Keep the user and manager informed of progress.</w:t>
            </w:r>
          </w:p>
          <w:p w14:paraId="59C96B44" w14:textId="509C6090" w:rsidR="00765257" w:rsidRPr="00521BEF" w:rsidRDefault="00765257" w:rsidP="00765257">
            <w:pPr>
              <w:pStyle w:val="ListParagraph"/>
              <w:numPr>
                <w:ilvl w:val="0"/>
                <w:numId w:val="11"/>
              </w:numPr>
              <w:rPr>
                <w:rFonts w:eastAsia="Times New Roman" w:cs="Calibri"/>
                <w:color w:val="2D2D2D"/>
                <w:szCs w:val="22"/>
                <w:lang w:eastAsia="en-GB"/>
              </w:rPr>
            </w:pPr>
            <w:r>
              <w:rPr>
                <w:rFonts w:eastAsia="Times New Roman" w:cs="Calibri"/>
                <w:color w:val="2D2D2D"/>
                <w:kern w:val="0"/>
                <w:szCs w:val="22"/>
                <w:lang w:val="en-US" w:eastAsia="en-GB"/>
              </w:rPr>
              <w:t>Ensure all items purchased can be attributed to a specific case/service</w:t>
            </w:r>
            <w:r w:rsidR="00457505">
              <w:rPr>
                <w:rFonts w:eastAsia="Times New Roman" w:cs="Calibri"/>
                <w:color w:val="2D2D2D"/>
                <w:kern w:val="0"/>
                <w:szCs w:val="22"/>
                <w:lang w:val="en-US" w:eastAsia="en-GB"/>
              </w:rPr>
              <w:t>.</w:t>
            </w:r>
          </w:p>
          <w:p w14:paraId="1F24E2E0" w14:textId="1A3147B6" w:rsidR="00765257" w:rsidRPr="00521BEF" w:rsidRDefault="00765257" w:rsidP="00765257">
            <w:pPr>
              <w:pStyle w:val="ListParagraph"/>
              <w:numPr>
                <w:ilvl w:val="0"/>
                <w:numId w:val="11"/>
              </w:numPr>
              <w:rPr>
                <w:rFonts w:eastAsia="Times New Roman" w:cs="Calibri"/>
                <w:color w:val="2D2D2D"/>
                <w:szCs w:val="22"/>
                <w:lang w:eastAsia="en-GB"/>
              </w:rPr>
            </w:pPr>
            <w:r>
              <w:rPr>
                <w:rFonts w:eastAsia="Times New Roman" w:cs="Calibri"/>
                <w:color w:val="2D2D2D"/>
                <w:kern w:val="0"/>
                <w:szCs w:val="22"/>
                <w:lang w:val="en-US" w:eastAsia="en-GB"/>
              </w:rPr>
              <w:t>Provide Finance with relevant information so they can account for any spend</w:t>
            </w:r>
            <w:r w:rsidR="00457505">
              <w:rPr>
                <w:rFonts w:eastAsia="Times New Roman" w:cs="Calibri"/>
                <w:color w:val="2D2D2D"/>
                <w:kern w:val="0"/>
                <w:szCs w:val="22"/>
                <w:lang w:val="en-US" w:eastAsia="en-GB"/>
              </w:rPr>
              <w:t>.</w:t>
            </w:r>
          </w:p>
          <w:p w14:paraId="652076AD" w14:textId="77777777" w:rsidR="00765257" w:rsidRPr="00521BEF" w:rsidRDefault="00765257" w:rsidP="00765257">
            <w:pPr>
              <w:pStyle w:val="ListParagraph"/>
              <w:numPr>
                <w:ilvl w:val="0"/>
                <w:numId w:val="11"/>
              </w:numPr>
              <w:rPr>
                <w:rFonts w:eastAsia="Times New Roman" w:cs="Calibri"/>
                <w:color w:val="2D2D2D"/>
                <w:szCs w:val="22"/>
                <w:lang w:eastAsia="en-GB"/>
              </w:rPr>
            </w:pPr>
            <w:r>
              <w:rPr>
                <w:rFonts w:eastAsia="Times New Roman" w:cs="Calibri"/>
                <w:color w:val="2D2D2D"/>
                <w:kern w:val="0"/>
                <w:szCs w:val="22"/>
                <w:lang w:val="en-US" w:eastAsia="en-GB"/>
              </w:rPr>
              <w:t>Keep accurate records.</w:t>
            </w:r>
          </w:p>
          <w:p w14:paraId="2975B9BE" w14:textId="77777777" w:rsidR="00765257" w:rsidRPr="00521BEF" w:rsidRDefault="00765257" w:rsidP="00765257">
            <w:pPr>
              <w:pStyle w:val="ListParagraph"/>
              <w:numPr>
                <w:ilvl w:val="0"/>
                <w:numId w:val="11"/>
              </w:numPr>
              <w:rPr>
                <w:rFonts w:eastAsia="Times New Roman" w:cs="Calibri"/>
                <w:color w:val="2D2D2D"/>
                <w:szCs w:val="22"/>
                <w:lang w:eastAsia="en-GB"/>
              </w:rPr>
            </w:pPr>
            <w:r>
              <w:rPr>
                <w:rFonts w:eastAsia="Times New Roman" w:cs="Calibri"/>
                <w:color w:val="2D2D2D"/>
                <w:kern w:val="0"/>
                <w:szCs w:val="22"/>
                <w:lang w:val="en-US" w:eastAsia="en-GB"/>
              </w:rPr>
              <w:t>Build and maintain excellent relations with suppliers.</w:t>
            </w:r>
          </w:p>
          <w:p w14:paraId="24638145" w14:textId="6F98CAF6" w:rsidR="00765257" w:rsidRPr="00211F8E" w:rsidRDefault="00765257" w:rsidP="00765257">
            <w:pPr>
              <w:pStyle w:val="ListParagraph"/>
              <w:numPr>
                <w:ilvl w:val="0"/>
                <w:numId w:val="11"/>
              </w:numPr>
              <w:rPr>
                <w:rFonts w:eastAsia="Times New Roman" w:cs="Calibri"/>
                <w:color w:val="2D2D2D"/>
                <w:szCs w:val="22"/>
                <w:lang w:eastAsia="en-GB"/>
              </w:rPr>
            </w:pPr>
            <w:r>
              <w:rPr>
                <w:rFonts w:eastAsia="Times New Roman" w:cs="Calibri"/>
                <w:color w:val="2D2D2D"/>
                <w:kern w:val="0"/>
                <w:szCs w:val="22"/>
                <w:lang w:val="en-US" w:eastAsia="en-GB"/>
              </w:rPr>
              <w:t>Understand how the Access to Work scheme work</w:t>
            </w:r>
            <w:r w:rsidR="00457505">
              <w:rPr>
                <w:rFonts w:eastAsia="Times New Roman" w:cs="Calibri"/>
                <w:color w:val="2D2D2D"/>
                <w:kern w:val="0"/>
                <w:szCs w:val="22"/>
                <w:lang w:val="en-US" w:eastAsia="en-GB"/>
              </w:rPr>
              <w:t>s</w:t>
            </w:r>
            <w:r>
              <w:rPr>
                <w:rFonts w:eastAsia="Times New Roman" w:cs="Calibri"/>
                <w:color w:val="2D2D2D"/>
                <w:kern w:val="0"/>
                <w:szCs w:val="22"/>
                <w:lang w:val="en-US" w:eastAsia="en-GB"/>
              </w:rPr>
              <w:t xml:space="preserve"> and ensure all procurement is done within their timescales.</w:t>
            </w:r>
            <w:r w:rsidRPr="00211F8E">
              <w:rPr>
                <w:rFonts w:eastAsia="Times New Roman" w:cs="Calibri"/>
                <w:color w:val="2D2D2D"/>
                <w:szCs w:val="22"/>
                <w:lang w:eastAsia="en-GB"/>
              </w:rPr>
              <w:t xml:space="preserve"> </w:t>
            </w:r>
          </w:p>
          <w:p w14:paraId="18630657" w14:textId="77777777" w:rsidR="00765257" w:rsidRDefault="00765257" w:rsidP="00765257">
            <w:pPr>
              <w:numPr>
                <w:ilvl w:val="0"/>
                <w:numId w:val="11"/>
              </w:numPr>
              <w:shd w:val="clear" w:color="auto" w:fill="FFFFFF"/>
              <w:spacing w:before="100" w:beforeAutospacing="1" w:after="100" w:afterAutospacing="1"/>
              <w:rPr>
                <w:rFonts w:eastAsia="Times New Roman" w:cs="Calibri"/>
                <w:color w:val="2D2D2D"/>
                <w:szCs w:val="22"/>
                <w:lang w:eastAsia="en-GB"/>
              </w:rPr>
            </w:pPr>
            <w:r w:rsidRPr="00211F8E">
              <w:rPr>
                <w:rFonts w:eastAsia="Times New Roman" w:cs="Calibri"/>
                <w:color w:val="2D2D2D"/>
                <w:szCs w:val="22"/>
                <w:lang w:eastAsia="en-GB"/>
              </w:rPr>
              <w:t>Maintain confidentiality and sensitivity to all issues.</w:t>
            </w:r>
          </w:p>
          <w:p w14:paraId="29F6FC04" w14:textId="5233CD5F" w:rsidR="00765257" w:rsidRDefault="00765257" w:rsidP="00765257">
            <w:pPr>
              <w:numPr>
                <w:ilvl w:val="0"/>
                <w:numId w:val="11"/>
              </w:numPr>
              <w:shd w:val="clear" w:color="auto" w:fill="FFFFFF"/>
              <w:spacing w:before="100" w:beforeAutospacing="1" w:after="100" w:afterAutospacing="1"/>
              <w:rPr>
                <w:rFonts w:eastAsia="Times New Roman" w:cs="Calibri"/>
                <w:color w:val="2D2D2D"/>
                <w:szCs w:val="22"/>
                <w:lang w:eastAsia="en-GB"/>
              </w:rPr>
            </w:pPr>
            <w:r>
              <w:rPr>
                <w:rFonts w:eastAsia="Times New Roman" w:cs="Calibri"/>
                <w:color w:val="2D2D2D"/>
                <w:szCs w:val="22"/>
                <w:lang w:eastAsia="en-GB"/>
              </w:rPr>
              <w:lastRenderedPageBreak/>
              <w:t>Assist other members of the People Services Team as and when requested,</w:t>
            </w:r>
            <w:r w:rsidR="00457505">
              <w:rPr>
                <w:rFonts w:eastAsia="Times New Roman" w:cs="Calibri"/>
                <w:color w:val="2D2D2D"/>
                <w:szCs w:val="22"/>
                <w:lang w:eastAsia="en-GB"/>
              </w:rPr>
              <w:t xml:space="preserve"> particularly when</w:t>
            </w:r>
            <w:r>
              <w:rPr>
                <w:rFonts w:eastAsia="Times New Roman" w:cs="Calibri"/>
                <w:color w:val="2D2D2D"/>
                <w:szCs w:val="22"/>
                <w:lang w:eastAsia="en-GB"/>
              </w:rPr>
              <w:t xml:space="preserve"> there is a lull in reasonable adjustment requests.</w:t>
            </w:r>
          </w:p>
          <w:p w14:paraId="032EF914" w14:textId="77777777" w:rsidR="00765257" w:rsidRPr="0081339F" w:rsidRDefault="00765257" w:rsidP="00765257">
            <w:pPr>
              <w:numPr>
                <w:ilvl w:val="0"/>
                <w:numId w:val="11"/>
              </w:numPr>
              <w:shd w:val="clear" w:color="auto" w:fill="FFFFFF"/>
              <w:spacing w:before="100" w:beforeAutospacing="1" w:after="100" w:afterAutospacing="1"/>
              <w:rPr>
                <w:rFonts w:eastAsia="Times New Roman" w:cs="Calibri"/>
                <w:szCs w:val="22"/>
                <w:lang w:eastAsia="en-GB"/>
              </w:rPr>
            </w:pPr>
            <w:r w:rsidRPr="0081339F">
              <w:rPr>
                <w:rFonts w:eastAsia="Times New Roman" w:cs="Calibri"/>
                <w:szCs w:val="22"/>
                <w:lang w:eastAsia="en-GB"/>
              </w:rPr>
              <w:t>Carry out all administration relating to reasonable adjustments.</w:t>
            </w:r>
          </w:p>
          <w:p w14:paraId="3C161CA7" w14:textId="77777777" w:rsidR="00765257" w:rsidRPr="0081339F" w:rsidRDefault="00765257" w:rsidP="00765257">
            <w:pPr>
              <w:numPr>
                <w:ilvl w:val="0"/>
                <w:numId w:val="11"/>
              </w:numPr>
              <w:shd w:val="clear" w:color="auto" w:fill="FFFFFF"/>
              <w:spacing w:before="100" w:beforeAutospacing="1" w:after="100" w:afterAutospacing="1"/>
              <w:rPr>
                <w:rFonts w:eastAsia="Times New Roman" w:cs="Calibri"/>
                <w:szCs w:val="22"/>
                <w:lang w:eastAsia="en-GB"/>
              </w:rPr>
            </w:pPr>
            <w:r w:rsidRPr="0081339F">
              <w:rPr>
                <w:rFonts w:eastAsia="Times New Roman" w:cs="Calibri"/>
                <w:szCs w:val="22"/>
                <w:lang w:eastAsia="en-GB"/>
              </w:rPr>
              <w:t>Carry out engagement with the wider organisation to facilitate a broad understanding on inclusion and reasonable adjustments.</w:t>
            </w:r>
          </w:p>
          <w:p w14:paraId="375608D7" w14:textId="1C596B00" w:rsidR="00765257" w:rsidRPr="0081339F" w:rsidRDefault="00765257" w:rsidP="00765257">
            <w:pPr>
              <w:numPr>
                <w:ilvl w:val="0"/>
                <w:numId w:val="11"/>
              </w:numPr>
              <w:shd w:val="clear" w:color="auto" w:fill="FFFFFF"/>
              <w:spacing w:before="100" w:beforeAutospacing="1" w:after="100" w:afterAutospacing="1"/>
              <w:rPr>
                <w:rFonts w:eastAsia="Times New Roman" w:cs="Calibri"/>
                <w:szCs w:val="22"/>
                <w:lang w:eastAsia="en-GB"/>
              </w:rPr>
            </w:pPr>
            <w:r w:rsidRPr="0081339F">
              <w:rPr>
                <w:rFonts w:eastAsia="Times New Roman" w:cs="Calibri"/>
                <w:szCs w:val="22"/>
                <w:lang w:eastAsia="en-GB"/>
              </w:rPr>
              <w:t xml:space="preserve">Support colleagues with health and wellbeing and ensure those with disabilities </w:t>
            </w:r>
            <w:r w:rsidR="00EE2075">
              <w:rPr>
                <w:rFonts w:eastAsia="Times New Roman" w:cs="Calibri"/>
                <w:szCs w:val="22"/>
                <w:lang w:eastAsia="en-GB"/>
              </w:rPr>
              <w:t xml:space="preserve">considered and included in all </w:t>
            </w:r>
            <w:proofErr w:type="gramStart"/>
            <w:r w:rsidR="00EE2075">
              <w:rPr>
                <w:rFonts w:eastAsia="Times New Roman" w:cs="Calibri"/>
                <w:szCs w:val="22"/>
                <w:lang w:eastAsia="en-GB"/>
              </w:rPr>
              <w:t>circumstances</w:t>
            </w:r>
            <w:proofErr w:type="gramEnd"/>
          </w:p>
          <w:p w14:paraId="71C434F7" w14:textId="2B7E2CBD" w:rsidR="000027EE" w:rsidRPr="007158A7" w:rsidRDefault="00765257" w:rsidP="007158A7">
            <w:pPr>
              <w:numPr>
                <w:ilvl w:val="0"/>
                <w:numId w:val="11"/>
              </w:numPr>
              <w:shd w:val="clear" w:color="auto" w:fill="FFFFFF"/>
              <w:spacing w:before="100" w:beforeAutospacing="1" w:after="100" w:afterAutospacing="1"/>
              <w:rPr>
                <w:rFonts w:eastAsia="Times New Roman" w:cs="Calibri"/>
                <w:color w:val="2D2D2D"/>
                <w:szCs w:val="22"/>
                <w:lang w:eastAsia="en-GB"/>
              </w:rPr>
            </w:pPr>
            <w:r>
              <w:rPr>
                <w:rFonts w:eastAsia="Times New Roman" w:cs="Calibri"/>
                <w:color w:val="2D2D2D"/>
                <w:szCs w:val="22"/>
                <w:lang w:eastAsia="en-GB"/>
              </w:rPr>
              <w:t>Any other reasonable request</w:t>
            </w:r>
            <w:r w:rsidR="00457505">
              <w:rPr>
                <w:rFonts w:eastAsia="Times New Roman" w:cs="Calibri"/>
                <w:color w:val="2D2D2D"/>
                <w:szCs w:val="22"/>
                <w:lang w:eastAsia="en-GB"/>
              </w:rPr>
              <w:t xml:space="preserve"> in line with the needs of the People Services Team.</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22871EFC"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r w:rsidR="00457505">
              <w:t>.</w:t>
            </w:r>
          </w:p>
          <w:p w14:paraId="76A8559B" w14:textId="34BC7899"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Ensure that others are treated with fairness, dignity and respect</w:t>
            </w:r>
            <w:r w:rsidR="00457505">
              <w:t>.</w:t>
            </w:r>
          </w:p>
          <w:p w14:paraId="710A8156" w14:textId="3D6B514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r w:rsidR="00457505">
              <w:t>.</w:t>
            </w:r>
          </w:p>
          <w:p w14:paraId="064CC7CC" w14:textId="2DA13C9A"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00457505" w:rsidRPr="000027EE">
              <w:t>possible</w:t>
            </w:r>
            <w:proofErr w:type="gramEnd"/>
            <w:r w:rsidRPr="000027EE">
              <w:t xml:space="preserve"> to do so</w:t>
            </w:r>
            <w:r w:rsidR="00457505">
              <w:t>,</w:t>
            </w:r>
            <w:r w:rsidRPr="000027EE">
              <w:t xml:space="preserve"> and raise with your manager and EDI team</w:t>
            </w:r>
            <w:r w:rsidR="00457505">
              <w:t>.</w:t>
            </w:r>
          </w:p>
          <w:p w14:paraId="709F1DAE" w14:textId="1D9EAA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Encourage and support others to feel confident in speaking up if they have been subjected to or witnessed bias, discrimination or prejudice</w:t>
            </w:r>
            <w:r w:rsidR="00457505">
              <w:t>.</w:t>
            </w:r>
          </w:p>
          <w:p w14:paraId="5B0D39C4" w14:textId="6B0B3F8E"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prepared to speak up for others if you witness bias, discrimination or prejudice</w:t>
            </w:r>
            <w:r w:rsidR="00457505">
              <w:t>.</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3E29B26" w14:textId="73A478DD" w:rsidR="00966F66" w:rsidRDefault="00966F66" w:rsidP="00966F66">
            <w:pPr>
              <w:spacing w:before="100" w:after="100"/>
            </w:pPr>
            <w:r>
              <w:lastRenderedPageBreak/>
              <w:t>Clinical Governance:</w:t>
            </w:r>
          </w:p>
        </w:tc>
        <w:tc>
          <w:tcPr>
            <w:tcW w:w="6706" w:type="dxa"/>
            <w:vAlign w:val="center"/>
          </w:tcPr>
          <w:p w14:paraId="3766E5BC" w14:textId="32CC8E70" w:rsidR="00966F66" w:rsidRDefault="00156BB2"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470090A3" w:rsidR="00966F66" w:rsidRDefault="00156BB2" w:rsidP="5D247394">
            <w:pPr>
              <w:spacing w:before="100" w:after="100"/>
              <w:rPr>
                <w:rFonts w:eastAsia="Calibri" w:cs="Calibri"/>
                <w:sz w:val="21"/>
                <w:szCs w:val="21"/>
              </w:rPr>
            </w:pPr>
            <w:r>
              <w:rPr>
                <w:rFonts w:eastAsia="Calibri" w:cs="Calibri"/>
                <w:sz w:val="21"/>
                <w:szCs w:val="21"/>
              </w:rPr>
              <w:t>Ongoing</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7F036193" w14:textId="77777777" w:rsidR="00156BB2" w:rsidRPr="00FD1537" w:rsidRDefault="00156BB2" w:rsidP="00156BB2">
            <w:pPr>
              <w:pStyle w:val="Heading2"/>
              <w:rPr>
                <w:lang w:eastAsia="en-GB"/>
              </w:rPr>
            </w:pPr>
            <w:r w:rsidRPr="00FD1537">
              <w:rPr>
                <w:lang w:eastAsia="en-GB"/>
              </w:rPr>
              <w:t>Why Vita Health Group?</w:t>
            </w:r>
          </w:p>
          <w:p w14:paraId="3FC34940" w14:textId="77777777" w:rsidR="00156BB2" w:rsidRDefault="00156BB2" w:rsidP="00156BB2">
            <w:pPr>
              <w:rPr>
                <w:lang w:eastAsia="en-GB"/>
              </w:rPr>
            </w:pPr>
            <w:bookmarkStart w:id="1" w:name="_Hlk33450302"/>
            <w:r>
              <w:rPr>
                <w:lang w:eastAsia="en-GB"/>
              </w:rPr>
              <w:t>Our company purpose is “to make people better” which is inclusive of everyone we treat. In order to achieve this, we strongly believe in our company values:</w:t>
            </w:r>
          </w:p>
          <w:p w14:paraId="41DDF80A" w14:textId="77777777" w:rsidR="00156BB2" w:rsidRDefault="00156BB2" w:rsidP="00156BB2">
            <w:pPr>
              <w:rPr>
                <w:lang w:eastAsia="en-GB"/>
              </w:rPr>
            </w:pPr>
          </w:p>
          <w:p w14:paraId="7B815EA9" w14:textId="77777777" w:rsidR="00156BB2" w:rsidRDefault="00156BB2" w:rsidP="00156BB2">
            <w:pPr>
              <w:pStyle w:val="BulletListDense"/>
              <w:rPr>
                <w:lang w:eastAsia="en-GB"/>
              </w:rPr>
            </w:pPr>
            <w:r>
              <w:rPr>
                <w:lang w:eastAsia="en-GB"/>
              </w:rPr>
              <w:t>Leadership</w:t>
            </w:r>
          </w:p>
          <w:p w14:paraId="2D198117" w14:textId="77777777" w:rsidR="00156BB2" w:rsidRDefault="00156BB2" w:rsidP="00156BB2">
            <w:pPr>
              <w:pStyle w:val="BulletListDense"/>
              <w:rPr>
                <w:lang w:eastAsia="en-GB"/>
              </w:rPr>
            </w:pPr>
            <w:r>
              <w:rPr>
                <w:lang w:eastAsia="en-GB"/>
              </w:rPr>
              <w:t>Customer Focussed</w:t>
            </w:r>
          </w:p>
          <w:p w14:paraId="467A2765" w14:textId="77777777" w:rsidR="00156BB2" w:rsidRDefault="00156BB2" w:rsidP="00156BB2">
            <w:pPr>
              <w:pStyle w:val="BulletListDense"/>
              <w:rPr>
                <w:lang w:eastAsia="en-GB"/>
              </w:rPr>
            </w:pPr>
            <w:r>
              <w:rPr>
                <w:lang w:eastAsia="en-GB"/>
              </w:rPr>
              <w:t>People Centred</w:t>
            </w:r>
          </w:p>
          <w:p w14:paraId="574637F0" w14:textId="77777777" w:rsidR="00156BB2" w:rsidRDefault="00156BB2" w:rsidP="00156BB2">
            <w:pPr>
              <w:pStyle w:val="BulletListDense"/>
              <w:rPr>
                <w:lang w:eastAsia="en-GB"/>
              </w:rPr>
            </w:pPr>
            <w:r>
              <w:rPr>
                <w:lang w:eastAsia="en-GB"/>
              </w:rPr>
              <w:t xml:space="preserve">Quality </w:t>
            </w:r>
          </w:p>
          <w:p w14:paraId="3BDCE1C2" w14:textId="77777777" w:rsidR="00156BB2" w:rsidRDefault="00156BB2" w:rsidP="00156BB2">
            <w:pPr>
              <w:pStyle w:val="BulletListDense"/>
              <w:rPr>
                <w:lang w:eastAsia="en-GB"/>
              </w:rPr>
            </w:pPr>
            <w:r>
              <w:rPr>
                <w:lang w:eastAsia="en-GB"/>
              </w:rPr>
              <w:t xml:space="preserve">Integrity </w:t>
            </w:r>
          </w:p>
          <w:p w14:paraId="23CD94B6" w14:textId="77777777" w:rsidR="00156BB2" w:rsidRDefault="00156BB2" w:rsidP="00156BB2">
            <w:pPr>
              <w:rPr>
                <w:lang w:eastAsia="en-GB"/>
              </w:rPr>
            </w:pPr>
          </w:p>
          <w:p w14:paraId="20CEDDAA" w14:textId="77777777" w:rsidR="00156BB2" w:rsidRDefault="00156BB2" w:rsidP="00156BB2">
            <w:pPr>
              <w:rPr>
                <w:lang w:eastAsia="en-GB"/>
              </w:rPr>
            </w:pPr>
            <w:r>
              <w:rPr>
                <w:lang w:eastAsia="en-GB"/>
              </w:rPr>
              <w:t xml:space="preserve">Our values provide the building blocks for us to achieve the Vita Health Group vision to be the UKs Leading Healthcare Provider of best in class Physical and Mental Health Solutions. </w:t>
            </w:r>
          </w:p>
          <w:p w14:paraId="3B1A8A8A" w14:textId="77777777" w:rsidR="00156BB2" w:rsidRDefault="00156BB2" w:rsidP="00156BB2">
            <w:pPr>
              <w:rPr>
                <w:lang w:eastAsia="en-GB"/>
              </w:rPr>
            </w:pPr>
          </w:p>
          <w:p w14:paraId="0441AA6D" w14:textId="77777777" w:rsidR="00156BB2" w:rsidRDefault="00156BB2" w:rsidP="00156BB2">
            <w:pPr>
              <w:rPr>
                <w:lang w:eastAsia="en-GB"/>
              </w:rPr>
            </w:pPr>
            <w:r w:rsidRPr="002A6481">
              <w:rPr>
                <w:lang w:eastAsia="en-GB"/>
              </w:rPr>
              <w:t>We are proud to be an inclusive, equal opportunities employer and value excellen</w:t>
            </w:r>
            <w:r>
              <w:rPr>
                <w:lang w:eastAsia="en-GB"/>
              </w:rPr>
              <w:t>ce</w:t>
            </w:r>
            <w:r w:rsidRPr="002A6481">
              <w:rPr>
                <w:lang w:eastAsia="en-GB"/>
              </w:rPr>
              <w:t xml:space="preserve"> in everything we do. </w:t>
            </w:r>
            <w:r w:rsidRPr="00FD1537">
              <w:rPr>
                <w:lang w:eastAsia="en-GB"/>
              </w:rPr>
              <w:t xml:space="preserve">We have a strong focus on supporting and developing our </w:t>
            </w:r>
            <w:r>
              <w:rPr>
                <w:lang w:eastAsia="en-GB"/>
              </w:rPr>
              <w:t>employees</w:t>
            </w:r>
            <w:r w:rsidRPr="00FD1537">
              <w:rPr>
                <w:lang w:eastAsia="en-GB"/>
              </w:rPr>
              <w:t xml:space="preserve"> and are keen to bring on board candidates that share our vision to be a workplace of choice.</w:t>
            </w:r>
          </w:p>
          <w:p w14:paraId="6633C65A" w14:textId="77777777" w:rsidR="00156BB2" w:rsidRDefault="00156BB2" w:rsidP="00156BB2">
            <w:pPr>
              <w:rPr>
                <w:lang w:eastAsia="en-GB"/>
              </w:rPr>
            </w:pPr>
          </w:p>
          <w:p w14:paraId="6B4D51B8" w14:textId="77777777" w:rsidR="00156BB2" w:rsidRDefault="00156BB2" w:rsidP="00156BB2">
            <w:pPr>
              <w:rPr>
                <w:szCs w:val="22"/>
                <w:lang w:eastAsia="en-GB"/>
              </w:rPr>
            </w:pPr>
            <w:r w:rsidRPr="00B1658E">
              <w:rPr>
                <w:szCs w:val="22"/>
                <w:lang w:eastAsia="en-GB"/>
              </w:rPr>
              <w:t>We continually look at attracting the very best people from the widest talent pool. As a Disability Co</w:t>
            </w:r>
            <w:r>
              <w:rPr>
                <w:szCs w:val="22"/>
                <w:lang w:eastAsia="en-GB"/>
              </w:rPr>
              <w:t>nfident Committed</w:t>
            </w:r>
            <w:r w:rsidRPr="00B1658E">
              <w:rPr>
                <w:szCs w:val="22"/>
                <w:lang w:eastAsia="en-GB"/>
              </w:rPr>
              <w:t xml:space="preserve"> </w:t>
            </w:r>
            <w:r>
              <w:rPr>
                <w:szCs w:val="22"/>
                <w:lang w:eastAsia="en-GB"/>
              </w:rPr>
              <w:t>E</w:t>
            </w:r>
            <w:r w:rsidRPr="00B1658E">
              <w:rPr>
                <w:szCs w:val="22"/>
                <w:lang w:eastAsia="en-GB"/>
              </w:rPr>
              <w:t>mployer, we</w:t>
            </w:r>
            <w:r>
              <w:rPr>
                <w:szCs w:val="22"/>
                <w:lang w:eastAsia="en-GB"/>
              </w:rPr>
              <w:t xml:space="preserve"> are</w:t>
            </w:r>
            <w:r w:rsidRPr="00B1658E">
              <w:rPr>
                <w:szCs w:val="22"/>
                <w:lang w:eastAsia="en-GB"/>
              </w:rPr>
              <w:t xml:space="preserve"> dedicated to ensuring that all candidates are treated fairly throughout the recruitment process. </w:t>
            </w:r>
          </w:p>
          <w:p w14:paraId="1044F6AF" w14:textId="77777777" w:rsidR="00156BB2" w:rsidRDefault="00156BB2" w:rsidP="00156BB2">
            <w:pPr>
              <w:rPr>
                <w:lang w:eastAsia="en-GB"/>
              </w:rPr>
            </w:pPr>
            <w:r w:rsidRPr="00FD1537">
              <w:rPr>
                <w:lang w:eastAsia="en-GB"/>
              </w:rPr>
              <w:t xml:space="preserve"> </w:t>
            </w:r>
          </w:p>
          <w:p w14:paraId="40B84E59" w14:textId="77777777" w:rsidR="00156BB2" w:rsidRPr="005D773F" w:rsidRDefault="00156BB2" w:rsidP="00156BB2">
            <w:pPr>
              <w:rPr>
                <w:szCs w:val="22"/>
                <w:lang w:eastAsia="en-GB"/>
              </w:rPr>
            </w:pPr>
            <w:r w:rsidRPr="005D773F">
              <w:rPr>
                <w:szCs w:val="22"/>
                <w:lang w:eastAsia="en-GB"/>
              </w:rPr>
              <w:t>Should you wish to discuss any adjustment that you might need in the applications process, you can do so by visiting our website and clicking on “contact us” button located at the top right of the page. Please dial the number for our head office in Bury St Edmunds and ask to speak to a member of our recruitment team who will be happy to discuss your requirements.</w:t>
            </w:r>
          </w:p>
          <w:bookmarkEnd w:id="1"/>
          <w:p w14:paraId="79A27DB3" w14:textId="77777777" w:rsidR="00156BB2" w:rsidRDefault="00156BB2" w:rsidP="00156BB2">
            <w:pPr>
              <w:rPr>
                <w:szCs w:val="22"/>
                <w:lang w:eastAsia="en-GB"/>
              </w:rPr>
            </w:pPr>
          </w:p>
          <w:p w14:paraId="69BD4645" w14:textId="77777777" w:rsidR="00156BB2" w:rsidRPr="00B1658E" w:rsidRDefault="00156BB2" w:rsidP="00156BB2">
            <w:pPr>
              <w:pStyle w:val="Heading2"/>
              <w:rPr>
                <w:lang w:eastAsia="en-GB"/>
              </w:rPr>
            </w:pPr>
            <w:r w:rsidRPr="00B1658E">
              <w:rPr>
                <w:lang w:eastAsia="en-GB"/>
              </w:rPr>
              <w:t>Benefit Package</w:t>
            </w:r>
          </w:p>
          <w:p w14:paraId="1D3DA3DA" w14:textId="77777777" w:rsidR="00156BB2" w:rsidRDefault="00156BB2" w:rsidP="00156BB2">
            <w:pPr>
              <w:rPr>
                <w:lang w:eastAsia="en-GB"/>
              </w:rPr>
            </w:pPr>
            <w:bookmarkStart w:id="2" w:name="_Hlk33450337"/>
            <w:r>
              <w:rPr>
                <w:lang w:eastAsia="en-GB"/>
              </w:rPr>
              <w:t>The role offers a comprehensive benefits package including but not limited to:</w:t>
            </w:r>
          </w:p>
          <w:p w14:paraId="60C3B36A" w14:textId="77777777" w:rsidR="00156BB2" w:rsidRDefault="00156BB2" w:rsidP="00156BB2">
            <w:pPr>
              <w:rPr>
                <w:lang w:eastAsia="en-GB"/>
              </w:rPr>
            </w:pPr>
          </w:p>
          <w:p w14:paraId="4EC6E5D0" w14:textId="77777777" w:rsidR="00156BB2" w:rsidRDefault="00156BB2" w:rsidP="00156BB2">
            <w:pPr>
              <w:pStyle w:val="BulletListDense"/>
              <w:rPr>
                <w:lang w:eastAsia="en-GB"/>
              </w:rPr>
            </w:pPr>
            <w:r>
              <w:rPr>
                <w:lang w:eastAsia="en-GB"/>
              </w:rPr>
              <w:t xml:space="preserve">Enhanced annual </w:t>
            </w:r>
            <w:proofErr w:type="gramStart"/>
            <w:r>
              <w:rPr>
                <w:lang w:eastAsia="en-GB"/>
              </w:rPr>
              <w:t>leave</w:t>
            </w:r>
            <w:proofErr w:type="gramEnd"/>
            <w:r>
              <w:rPr>
                <w:lang w:eastAsia="en-GB"/>
              </w:rPr>
              <w:t xml:space="preserve"> </w:t>
            </w:r>
          </w:p>
          <w:p w14:paraId="3F6B4384" w14:textId="77777777" w:rsidR="00156BB2" w:rsidRDefault="00156BB2" w:rsidP="00156BB2">
            <w:pPr>
              <w:pStyle w:val="BulletListDense"/>
              <w:rPr>
                <w:lang w:eastAsia="en-GB"/>
              </w:rPr>
            </w:pPr>
            <w:r>
              <w:rPr>
                <w:lang w:eastAsia="en-GB"/>
              </w:rPr>
              <w:t xml:space="preserve">Continued Professional Development opportunities and comprehensive training </w:t>
            </w:r>
            <w:proofErr w:type="gramStart"/>
            <w:r>
              <w:rPr>
                <w:lang w:eastAsia="en-GB"/>
              </w:rPr>
              <w:t>provided</w:t>
            </w:r>
            <w:proofErr w:type="gramEnd"/>
            <w:r>
              <w:rPr>
                <w:lang w:eastAsia="en-GB"/>
              </w:rPr>
              <w:t xml:space="preserve"> </w:t>
            </w:r>
          </w:p>
          <w:p w14:paraId="1109E876" w14:textId="77777777" w:rsidR="00156BB2" w:rsidRDefault="00156BB2" w:rsidP="00156BB2">
            <w:pPr>
              <w:pStyle w:val="BulletListDense"/>
              <w:rPr>
                <w:lang w:eastAsia="en-GB"/>
              </w:rPr>
            </w:pPr>
            <w:r>
              <w:rPr>
                <w:lang w:eastAsia="en-GB"/>
              </w:rPr>
              <w:t xml:space="preserve">Company pension scheme </w:t>
            </w:r>
          </w:p>
          <w:p w14:paraId="4427B19C" w14:textId="77777777" w:rsidR="00156BB2" w:rsidRDefault="00156BB2" w:rsidP="00156BB2">
            <w:pPr>
              <w:pStyle w:val="BulletListDense"/>
              <w:rPr>
                <w:lang w:eastAsia="en-GB"/>
              </w:rPr>
            </w:pPr>
            <w:r>
              <w:rPr>
                <w:lang w:eastAsia="en-GB"/>
              </w:rPr>
              <w:t>Life Assurance insurance</w:t>
            </w:r>
          </w:p>
          <w:p w14:paraId="41D59719" w14:textId="77777777" w:rsidR="00156BB2" w:rsidRDefault="00156BB2" w:rsidP="00156BB2">
            <w:pPr>
              <w:pStyle w:val="BulletListDense"/>
              <w:rPr>
                <w:lang w:eastAsia="en-GB"/>
              </w:rPr>
            </w:pPr>
            <w:r>
              <w:rPr>
                <w:lang w:eastAsia="en-GB"/>
              </w:rPr>
              <w:t xml:space="preserve">Online benefits portal, including high street discounts and a wellbeing </w:t>
            </w:r>
            <w:proofErr w:type="gramStart"/>
            <w:r>
              <w:rPr>
                <w:lang w:eastAsia="en-GB"/>
              </w:rPr>
              <w:t>zone</w:t>
            </w:r>
            <w:proofErr w:type="gramEnd"/>
          </w:p>
          <w:p w14:paraId="3A12635D" w14:textId="77777777" w:rsidR="00156BB2" w:rsidRDefault="00156BB2" w:rsidP="00156BB2">
            <w:pPr>
              <w:pStyle w:val="BulletListDense"/>
              <w:rPr>
                <w:lang w:eastAsia="en-GB"/>
              </w:rPr>
            </w:pPr>
            <w:r>
              <w:rPr>
                <w:lang w:eastAsia="en-GB"/>
              </w:rPr>
              <w:t>Enhanced maternity, paternity and adoption leave</w:t>
            </w:r>
          </w:p>
          <w:p w14:paraId="6E7AB2FC" w14:textId="77777777" w:rsidR="00156BB2" w:rsidRDefault="00156BB2" w:rsidP="00156BB2">
            <w:pPr>
              <w:pStyle w:val="BulletListDense"/>
              <w:rPr>
                <w:lang w:eastAsia="en-GB"/>
              </w:rPr>
            </w:pPr>
            <w:r>
              <w:rPr>
                <w:lang w:eastAsia="en-GB"/>
              </w:rPr>
              <w:t>Benenden health cover</w:t>
            </w:r>
          </w:p>
          <w:p w14:paraId="74316355" w14:textId="77777777" w:rsidR="00156BB2" w:rsidRDefault="00156BB2" w:rsidP="00156BB2">
            <w:pPr>
              <w:pStyle w:val="BulletListDense"/>
              <w:rPr>
                <w:lang w:eastAsia="en-GB"/>
              </w:rPr>
            </w:pPr>
            <w:r>
              <w:rPr>
                <w:lang w:eastAsia="en-GB"/>
              </w:rPr>
              <w:t>Length of service awards</w:t>
            </w:r>
          </w:p>
          <w:p w14:paraId="25BCA266" w14:textId="77777777" w:rsidR="00156BB2" w:rsidRDefault="00156BB2" w:rsidP="00156BB2">
            <w:pPr>
              <w:pStyle w:val="BulletListDense"/>
              <w:rPr>
                <w:lang w:eastAsia="en-GB"/>
              </w:rPr>
            </w:pPr>
            <w:r>
              <w:rPr>
                <w:lang w:eastAsia="en-GB"/>
              </w:rPr>
              <w:t>Ability to work from home when required and where possible (min 5mb download speed required)</w:t>
            </w:r>
          </w:p>
          <w:p w14:paraId="50AEF9E5" w14:textId="77777777" w:rsidR="00156BB2" w:rsidRDefault="00156BB2" w:rsidP="00156BB2">
            <w:pPr>
              <w:pStyle w:val="BulletListDense"/>
              <w:rPr>
                <w:lang w:eastAsia="en-GB"/>
              </w:rPr>
            </w:pPr>
            <w:r>
              <w:rPr>
                <w:lang w:eastAsia="en-GB"/>
              </w:rPr>
              <w:t xml:space="preserve">Retirement training </w:t>
            </w:r>
          </w:p>
          <w:p w14:paraId="63B5B409" w14:textId="77777777" w:rsidR="00156BB2" w:rsidRDefault="00156BB2" w:rsidP="00156BB2">
            <w:pPr>
              <w:pStyle w:val="BulletListDense"/>
              <w:rPr>
                <w:lang w:eastAsia="en-GB"/>
              </w:rPr>
            </w:pPr>
            <w:r>
              <w:rPr>
                <w:lang w:eastAsia="en-GB"/>
              </w:rPr>
              <w:t xml:space="preserve">Cycle to work </w:t>
            </w:r>
            <w:proofErr w:type="gramStart"/>
            <w:r>
              <w:rPr>
                <w:lang w:eastAsia="en-GB"/>
              </w:rPr>
              <w:t>scheme</w:t>
            </w:r>
            <w:proofErr w:type="gramEnd"/>
            <w:r>
              <w:rPr>
                <w:lang w:eastAsia="en-GB"/>
              </w:rPr>
              <w:t xml:space="preserve"> </w:t>
            </w:r>
          </w:p>
          <w:p w14:paraId="4CC8A20C" w14:textId="77777777" w:rsidR="00156BB2" w:rsidRDefault="00156BB2" w:rsidP="00156BB2">
            <w:pPr>
              <w:pStyle w:val="BulletListDense"/>
              <w:rPr>
                <w:sz w:val="16"/>
                <w:szCs w:val="16"/>
                <w:lang w:eastAsia="en-GB"/>
              </w:rPr>
            </w:pPr>
            <w:r>
              <w:rPr>
                <w:lang w:eastAsia="en-GB"/>
              </w:rPr>
              <w:t xml:space="preserve">Employee referral cash incentive </w:t>
            </w:r>
            <w:r>
              <w:rPr>
                <w:sz w:val="16"/>
                <w:szCs w:val="16"/>
                <w:lang w:eastAsia="en-GB"/>
              </w:rPr>
              <w:t>(Subject to Tax and NI)</w:t>
            </w:r>
          </w:p>
          <w:p w14:paraId="47FD8BF6" w14:textId="77777777" w:rsidR="00156BB2" w:rsidRDefault="00156BB2" w:rsidP="00156BB2">
            <w:pPr>
              <w:pStyle w:val="BulletListDense"/>
              <w:rPr>
                <w:lang w:eastAsia="en-GB"/>
              </w:rPr>
            </w:pPr>
            <w:r>
              <w:rPr>
                <w:lang w:eastAsia="en-GB"/>
              </w:rPr>
              <w:t xml:space="preserve">Employee Assistance Program </w:t>
            </w:r>
          </w:p>
          <w:bookmarkEnd w:id="2"/>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3942C070" w:rsidR="00966F66" w:rsidRPr="003C6FE1" w:rsidRDefault="003C6FE1" w:rsidP="003C6FE1">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GCSE English &amp; Maths (or equivalent)</w:t>
            </w:r>
          </w:p>
        </w:tc>
        <w:tc>
          <w:tcPr>
            <w:tcW w:w="3728" w:type="dxa"/>
          </w:tcPr>
          <w:p w14:paraId="249563A3" w14:textId="1700640B" w:rsidR="00966F66" w:rsidRPr="00AC5FDD" w:rsidRDefault="003C6FE1" w:rsidP="00DF288D">
            <w:pPr>
              <w:pStyle w:val="ListParagraph"/>
              <w:numPr>
                <w:ilvl w:val="0"/>
                <w:numId w:val="9"/>
              </w:numPr>
              <w:spacing w:beforeLines="100" w:before="240" w:afterLines="100" w:after="240"/>
              <w:rPr>
                <w:rFonts w:cs="Calibri"/>
                <w:szCs w:val="22"/>
              </w:rPr>
            </w:pPr>
            <w:r>
              <w:rPr>
                <w:rFonts w:cs="Calibri"/>
                <w:szCs w:val="22"/>
              </w:rPr>
              <w:t xml:space="preserve">EDI Qualification </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A46862B" w14:textId="4B6866E0" w:rsidR="007158A7" w:rsidRPr="003C6FE1" w:rsidRDefault="00272960" w:rsidP="003C6FE1">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Experience navigating the reasonable adjustment process (such as access to work) or similar disability related </w:t>
            </w:r>
            <w:proofErr w:type="gramStart"/>
            <w:r>
              <w:rPr>
                <w:rFonts w:eastAsia="Times New Roman" w:cs="Calibri"/>
                <w:color w:val="333333"/>
                <w:szCs w:val="22"/>
                <w:lang w:eastAsia="en-GB"/>
              </w:rPr>
              <w:t>services</w:t>
            </w:r>
            <w:proofErr w:type="gramEnd"/>
          </w:p>
          <w:p w14:paraId="33E5C800" w14:textId="69A702CE" w:rsidR="007158A7" w:rsidRPr="00EA41E7" w:rsidRDefault="007158A7" w:rsidP="00EA41E7">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The ability to use MS Office applications effectively specifically Word, Outlook and Excel (intermediate level)</w:t>
            </w:r>
          </w:p>
          <w:p w14:paraId="11366BE3" w14:textId="6D07FD57" w:rsidR="007158A7" w:rsidRPr="007158A7" w:rsidRDefault="00272960" w:rsidP="007158A7">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Proven ability to </w:t>
            </w:r>
            <w:r w:rsidR="007158A7" w:rsidRPr="007158A7">
              <w:rPr>
                <w:rFonts w:eastAsia="Times New Roman" w:cs="Calibri"/>
                <w:color w:val="333333"/>
                <w:szCs w:val="22"/>
                <w:lang w:eastAsia="en-GB"/>
              </w:rPr>
              <w:t xml:space="preserve">work under pressure and to </w:t>
            </w:r>
            <w:proofErr w:type="gramStart"/>
            <w:r w:rsidR="007158A7" w:rsidRPr="007158A7">
              <w:rPr>
                <w:rFonts w:eastAsia="Times New Roman" w:cs="Calibri"/>
                <w:color w:val="333333"/>
                <w:szCs w:val="22"/>
                <w:lang w:eastAsia="en-GB"/>
              </w:rPr>
              <w:t>deadlines</w:t>
            </w:r>
            <w:proofErr w:type="gramEnd"/>
          </w:p>
          <w:p w14:paraId="0FFDFAE3" w14:textId="77777777" w:rsidR="00966F66" w:rsidRDefault="007158A7" w:rsidP="00EA41E7">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Experience of engagement and health and wellbeing initiatives</w:t>
            </w:r>
          </w:p>
          <w:p w14:paraId="3B562B01" w14:textId="668ED13D" w:rsidR="00272960" w:rsidRPr="00EA41E7" w:rsidRDefault="00272960" w:rsidP="00272960">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616EE82B" w14:textId="77777777" w:rsidR="003C6FE1" w:rsidRPr="007158A7" w:rsidRDefault="003C6FE1" w:rsidP="003C6FE1">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Purchasing/Procurement and or supplier management experience desirable</w:t>
            </w:r>
          </w:p>
          <w:p w14:paraId="76CDA55D" w14:textId="70FAB518" w:rsidR="003C6FE1" w:rsidRPr="007158A7" w:rsidRDefault="003C6FE1" w:rsidP="003C6FE1">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 xml:space="preserve">Experience working with a healthcare workforce </w:t>
            </w:r>
            <w:proofErr w:type="gramStart"/>
            <w:r w:rsidRPr="007158A7">
              <w:rPr>
                <w:rFonts w:eastAsia="Times New Roman" w:cs="Calibri"/>
                <w:color w:val="333333"/>
                <w:szCs w:val="22"/>
                <w:lang w:eastAsia="en-GB"/>
              </w:rPr>
              <w:t>desirable</w:t>
            </w:r>
            <w:proofErr w:type="gramEnd"/>
          </w:p>
          <w:p w14:paraId="495E9000" w14:textId="5D024457" w:rsidR="003C6FE1" w:rsidRPr="007158A7" w:rsidRDefault="003C6FE1" w:rsidP="003C6FE1">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 xml:space="preserve">Experience working in a health and wellbeing, disability support or equivalent role </w:t>
            </w:r>
            <w:proofErr w:type="gramStart"/>
            <w:r w:rsidRPr="007158A7">
              <w:rPr>
                <w:rFonts w:eastAsia="Times New Roman" w:cs="Calibri"/>
                <w:color w:val="333333"/>
                <w:szCs w:val="22"/>
                <w:lang w:eastAsia="en-GB"/>
              </w:rPr>
              <w:t>desirable</w:t>
            </w:r>
            <w:proofErr w:type="gramEnd"/>
          </w:p>
          <w:p w14:paraId="73BCA857" w14:textId="6284B02E" w:rsidR="00966F66" w:rsidRPr="00233201" w:rsidRDefault="00966F66" w:rsidP="003C6FE1">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72776EF" w14:textId="1C0D4A8F" w:rsidR="003C6FE1" w:rsidRDefault="00272960" w:rsidP="003C6FE1">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Evidencable </w:t>
            </w:r>
            <w:r w:rsidR="003C6FE1" w:rsidRPr="007158A7">
              <w:rPr>
                <w:rFonts w:eastAsia="Times New Roman" w:cs="Calibri"/>
                <w:color w:val="333333"/>
                <w:szCs w:val="22"/>
                <w:lang w:eastAsia="en-GB"/>
              </w:rPr>
              <w:t>awareness of and commitment to supporting and facilitating diversity and inclusion</w:t>
            </w:r>
          </w:p>
          <w:p w14:paraId="4B8792A9" w14:textId="77777777" w:rsidR="00EA41E7" w:rsidRPr="007158A7" w:rsidRDefault="00EA41E7" w:rsidP="00EA41E7">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Excellent time management skills</w:t>
            </w:r>
          </w:p>
          <w:p w14:paraId="7C13DE5E" w14:textId="63698CB4" w:rsidR="00EA41E7" w:rsidRDefault="00EA41E7" w:rsidP="003C6FE1">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 xml:space="preserve">Interpersonal skills to engage and develop working alliances with colleagues and </w:t>
            </w:r>
            <w:proofErr w:type="gramStart"/>
            <w:r w:rsidRPr="007158A7">
              <w:rPr>
                <w:rFonts w:eastAsia="Times New Roman" w:cs="Calibri"/>
                <w:color w:val="333333"/>
                <w:szCs w:val="22"/>
                <w:lang w:eastAsia="en-GB"/>
              </w:rPr>
              <w:t>suppliers</w:t>
            </w:r>
            <w:proofErr w:type="gramEnd"/>
          </w:p>
          <w:p w14:paraId="509016CD" w14:textId="442FF504" w:rsidR="00457505" w:rsidRDefault="00457505" w:rsidP="00457505">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An understanding of reasonable adjustments and disability inclusion</w:t>
            </w:r>
          </w:p>
          <w:p w14:paraId="6347B24D" w14:textId="32BCADC2" w:rsidR="00457505" w:rsidRPr="00272960" w:rsidRDefault="00272960" w:rsidP="00272960">
            <w:pPr>
              <w:numPr>
                <w:ilvl w:val="0"/>
                <w:numId w:val="9"/>
              </w:numPr>
              <w:shd w:val="clear" w:color="auto" w:fill="FFFFFF"/>
              <w:spacing w:before="100" w:beforeAutospacing="1" w:after="100" w:afterAutospacing="1"/>
              <w:rPr>
                <w:rFonts w:eastAsia="Times New Roman" w:cs="Calibri"/>
                <w:color w:val="333333"/>
                <w:szCs w:val="22"/>
                <w:lang w:eastAsia="en-GB"/>
              </w:rPr>
            </w:pPr>
            <w:r w:rsidRPr="007158A7">
              <w:rPr>
                <w:rFonts w:eastAsia="Times New Roman" w:cs="Calibri"/>
                <w:color w:val="333333"/>
                <w:szCs w:val="22"/>
                <w:lang w:eastAsia="en-GB"/>
              </w:rPr>
              <w:t xml:space="preserve">Ability to multitask and prioritise workload </w:t>
            </w:r>
            <w:proofErr w:type="gramStart"/>
            <w:r w:rsidRPr="007158A7">
              <w:rPr>
                <w:rFonts w:eastAsia="Times New Roman" w:cs="Calibri"/>
                <w:color w:val="333333"/>
                <w:szCs w:val="22"/>
                <w:lang w:eastAsia="en-GB"/>
              </w:rPr>
              <w:t>effectivel</w:t>
            </w:r>
            <w:r>
              <w:rPr>
                <w:rFonts w:eastAsia="Times New Roman" w:cs="Calibri"/>
                <w:color w:val="333333"/>
                <w:szCs w:val="22"/>
                <w:lang w:eastAsia="en-GB"/>
              </w:rPr>
              <w:t>y</w:t>
            </w:r>
            <w:proofErr w:type="gramEnd"/>
          </w:p>
          <w:p w14:paraId="2F77305B" w14:textId="60FA9B66" w:rsidR="00E32957" w:rsidRPr="003C6FE1" w:rsidRDefault="00E32957" w:rsidP="003C6FE1">
            <w:pPr>
              <w:rPr>
                <w:rFonts w:eastAsia="Times New Roman" w:cs="Calibri"/>
                <w:color w:val="333333"/>
                <w:szCs w:val="22"/>
                <w:lang w:eastAsia="en-GB"/>
              </w:rPr>
            </w:pPr>
          </w:p>
        </w:tc>
        <w:tc>
          <w:tcPr>
            <w:tcW w:w="3728" w:type="dxa"/>
          </w:tcPr>
          <w:p w14:paraId="0A86D72C" w14:textId="4722ED38" w:rsidR="00966F66" w:rsidRPr="00AC5FDD" w:rsidRDefault="00EA41E7" w:rsidP="00DF288D">
            <w:pPr>
              <w:pStyle w:val="ListParagraph"/>
              <w:numPr>
                <w:ilvl w:val="0"/>
                <w:numId w:val="9"/>
              </w:numPr>
              <w:spacing w:beforeLines="100" w:before="240" w:afterLines="100" w:after="240"/>
              <w:rPr>
                <w:rFonts w:eastAsia="Calibri" w:cs="Calibri"/>
                <w:szCs w:val="22"/>
              </w:rPr>
            </w:pPr>
            <w:r>
              <w:rPr>
                <w:rFonts w:eastAsia="Calibri" w:cs="Calibri"/>
                <w:szCs w:val="22"/>
              </w:rPr>
              <w:t>NA</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58BBBEC4" w:rsidR="00966F66" w:rsidRPr="00AC5FDD" w:rsidRDefault="007158A7" w:rsidP="00DF288D">
            <w:pPr>
              <w:pStyle w:val="ListParagraph"/>
              <w:numPr>
                <w:ilvl w:val="0"/>
                <w:numId w:val="9"/>
              </w:numPr>
              <w:spacing w:beforeLines="100" w:before="240" w:afterLines="100" w:after="240"/>
              <w:rPr>
                <w:rFonts w:cs="Calibri"/>
                <w:szCs w:val="22"/>
              </w:rPr>
            </w:pPr>
            <w:r>
              <w:rPr>
                <w:rFonts w:cs="Calibri"/>
                <w:szCs w:val="22"/>
              </w:rPr>
              <w:t>N/A</w:t>
            </w:r>
          </w:p>
        </w:tc>
        <w:tc>
          <w:tcPr>
            <w:tcW w:w="3728" w:type="dxa"/>
          </w:tcPr>
          <w:p w14:paraId="1D48B674" w14:textId="77777777" w:rsidR="00966F66" w:rsidRDefault="003C6FE1" w:rsidP="00DF288D">
            <w:pPr>
              <w:pStyle w:val="ListParagraph"/>
              <w:numPr>
                <w:ilvl w:val="0"/>
                <w:numId w:val="9"/>
              </w:numPr>
              <w:spacing w:beforeLines="100" w:before="240" w:afterLines="100" w:after="240"/>
              <w:rPr>
                <w:rFonts w:cs="Calibri"/>
                <w:szCs w:val="22"/>
              </w:rPr>
            </w:pPr>
            <w:r>
              <w:rPr>
                <w:rFonts w:cs="Calibri"/>
                <w:szCs w:val="22"/>
              </w:rPr>
              <w:t xml:space="preserve">EDI or Human rights training </w:t>
            </w:r>
          </w:p>
          <w:p w14:paraId="1F5B2756" w14:textId="0B0BDFB8" w:rsidR="00EA41E7" w:rsidRPr="00AC5FDD" w:rsidRDefault="00EA41E7" w:rsidP="00DF288D">
            <w:pPr>
              <w:pStyle w:val="ListParagraph"/>
              <w:numPr>
                <w:ilvl w:val="0"/>
                <w:numId w:val="9"/>
              </w:numPr>
              <w:spacing w:beforeLines="100" w:before="240" w:afterLines="100" w:after="240"/>
              <w:rPr>
                <w:rFonts w:cs="Calibri"/>
                <w:szCs w:val="22"/>
              </w:rPr>
            </w:pPr>
            <w:r>
              <w:rPr>
                <w:rFonts w:cs="Calibri"/>
                <w:szCs w:val="22"/>
              </w:rPr>
              <w:t xml:space="preserve">Human resources </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F05FC2" w14:textId="2D45D4CA" w:rsidR="00966F66" w:rsidRDefault="003C6FE1" w:rsidP="00DF288D">
            <w:pPr>
              <w:pStyle w:val="ListParagraph"/>
              <w:numPr>
                <w:ilvl w:val="0"/>
                <w:numId w:val="9"/>
              </w:numPr>
              <w:spacing w:beforeLines="100" w:before="240" w:afterLines="100" w:after="240"/>
              <w:rPr>
                <w:rFonts w:cs="Calibri"/>
              </w:rPr>
            </w:pPr>
            <w:r>
              <w:rPr>
                <w:rFonts w:cs="Calibri"/>
              </w:rPr>
              <w:t xml:space="preserve">A </w:t>
            </w:r>
            <w:proofErr w:type="gramStart"/>
            <w:r>
              <w:rPr>
                <w:rFonts w:cs="Calibri"/>
              </w:rPr>
              <w:t>values</w:t>
            </w:r>
            <w:proofErr w:type="gramEnd"/>
            <w:r>
              <w:rPr>
                <w:rFonts w:cs="Calibri"/>
              </w:rPr>
              <w:t xml:space="preserve"> b</w:t>
            </w:r>
            <w:r w:rsidR="00272960">
              <w:rPr>
                <w:rFonts w:cs="Calibri"/>
              </w:rPr>
              <w:t>ased</w:t>
            </w:r>
            <w:r>
              <w:rPr>
                <w:rFonts w:cs="Calibri"/>
              </w:rPr>
              <w:t xml:space="preserve"> approach </w:t>
            </w:r>
          </w:p>
          <w:p w14:paraId="0877472F" w14:textId="77777777" w:rsidR="00272960" w:rsidRPr="00272960" w:rsidRDefault="00EA41E7" w:rsidP="00272960">
            <w:pPr>
              <w:pStyle w:val="ListParagraph"/>
              <w:numPr>
                <w:ilvl w:val="0"/>
                <w:numId w:val="9"/>
              </w:numPr>
              <w:spacing w:beforeLines="100" w:before="240" w:afterLines="100" w:after="240"/>
              <w:rPr>
                <w:rFonts w:cs="Calibri"/>
              </w:rPr>
            </w:pPr>
            <w:r w:rsidRPr="007158A7">
              <w:rPr>
                <w:rFonts w:eastAsia="Times New Roman" w:cs="Calibri"/>
                <w:color w:val="333333"/>
                <w:szCs w:val="22"/>
                <w:lang w:eastAsia="en-GB"/>
              </w:rPr>
              <w:t>Evidence of values that are consistent with Vit</w:t>
            </w:r>
            <w:r w:rsidR="00272960">
              <w:rPr>
                <w:rFonts w:eastAsia="Times New Roman" w:cs="Calibri"/>
                <w:color w:val="333333"/>
                <w:szCs w:val="22"/>
                <w:lang w:eastAsia="en-GB"/>
              </w:rPr>
              <w:t>a Health Group</w:t>
            </w:r>
          </w:p>
          <w:p w14:paraId="0D3EB153" w14:textId="77777777" w:rsidR="00272960" w:rsidRPr="00272960" w:rsidRDefault="00272960" w:rsidP="00272960">
            <w:pPr>
              <w:pStyle w:val="ListParagraph"/>
              <w:numPr>
                <w:ilvl w:val="0"/>
                <w:numId w:val="9"/>
              </w:numPr>
              <w:spacing w:beforeLines="100" w:before="240" w:afterLines="100" w:after="240"/>
              <w:rPr>
                <w:rFonts w:cs="Calibri"/>
              </w:rPr>
            </w:pPr>
            <w:r w:rsidRPr="00272960">
              <w:rPr>
                <w:rFonts w:eastAsia="Times New Roman" w:cs="Calibri"/>
                <w:color w:val="333333"/>
                <w:szCs w:val="22"/>
                <w:lang w:eastAsia="en-GB"/>
              </w:rPr>
              <w:lastRenderedPageBreak/>
              <w:t>Self-motivated, detail-orientated, and highly organised</w:t>
            </w:r>
          </w:p>
          <w:p w14:paraId="21FB89F2" w14:textId="4E7F85D9" w:rsidR="00272960" w:rsidRPr="00272960" w:rsidRDefault="00272960" w:rsidP="00272960">
            <w:pPr>
              <w:pStyle w:val="ListParagraph"/>
              <w:numPr>
                <w:ilvl w:val="0"/>
                <w:numId w:val="9"/>
              </w:numPr>
              <w:spacing w:beforeLines="100" w:before="240" w:afterLines="100" w:after="240"/>
              <w:rPr>
                <w:rFonts w:cs="Calibri"/>
              </w:rPr>
            </w:pPr>
            <w:r w:rsidRPr="00272960">
              <w:rPr>
                <w:rFonts w:eastAsia="Times New Roman" w:cs="Calibri"/>
                <w:color w:val="333333"/>
                <w:szCs w:val="22"/>
                <w:lang w:eastAsia="en-GB"/>
              </w:rPr>
              <w:t>Ability to adapt to change with a high level of resilience</w:t>
            </w:r>
          </w:p>
        </w:tc>
        <w:tc>
          <w:tcPr>
            <w:tcW w:w="3728" w:type="dxa"/>
          </w:tcPr>
          <w:p w14:paraId="56588748" w14:textId="77777777" w:rsidR="00966F66" w:rsidRDefault="003C6FE1" w:rsidP="00DF288D">
            <w:pPr>
              <w:pStyle w:val="ListParagraph"/>
              <w:numPr>
                <w:ilvl w:val="0"/>
                <w:numId w:val="9"/>
              </w:numPr>
              <w:spacing w:beforeLines="100" w:before="240" w:afterLines="100" w:after="240"/>
              <w:rPr>
                <w:rFonts w:cs="Calibri"/>
                <w:szCs w:val="22"/>
              </w:rPr>
            </w:pPr>
            <w:r>
              <w:rPr>
                <w:rFonts w:cs="Calibri"/>
                <w:szCs w:val="22"/>
              </w:rPr>
              <w:lastRenderedPageBreak/>
              <w:t xml:space="preserve">An awareness of intersectionality </w:t>
            </w:r>
          </w:p>
          <w:p w14:paraId="49E7C29C" w14:textId="7A013DD4" w:rsidR="003C6FE1" w:rsidRPr="00AC5FDD" w:rsidRDefault="003C6FE1" w:rsidP="00DF288D">
            <w:pPr>
              <w:pStyle w:val="ListParagraph"/>
              <w:numPr>
                <w:ilvl w:val="0"/>
                <w:numId w:val="9"/>
              </w:numPr>
              <w:spacing w:beforeLines="100" w:before="240" w:afterLines="100" w:after="240"/>
              <w:rPr>
                <w:rFonts w:cs="Calibri"/>
                <w:szCs w:val="22"/>
              </w:rPr>
            </w:pPr>
            <w:r>
              <w:rPr>
                <w:rFonts w:cs="Calibri"/>
                <w:szCs w:val="22"/>
              </w:rPr>
              <w:t xml:space="preserve">Health </w:t>
            </w:r>
            <w:r w:rsidR="00EA41E7">
              <w:rPr>
                <w:rFonts w:cs="Calibri"/>
                <w:szCs w:val="22"/>
              </w:rPr>
              <w:t>inequalities</w:t>
            </w:r>
            <w:r>
              <w:rPr>
                <w:rFonts w:cs="Calibri"/>
                <w:szCs w:val="22"/>
              </w:rPr>
              <w:t xml:space="preserve"> awareness </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D22D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3" w:name="_Hlk527360505"/>
        <w:tc>
          <w:tcPr>
            <w:tcW w:w="1086" w:type="pct"/>
          </w:tcPr>
          <w:p w14:paraId="6AA0B98B" w14:textId="08AD492D" w:rsidR="00AD6216" w:rsidRPr="00B8707C" w:rsidRDefault="00ED22D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3"/>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D22D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39C3" w14:textId="77777777" w:rsidR="00333017" w:rsidRDefault="00333017" w:rsidP="00A96CB2">
      <w:r>
        <w:separator/>
      </w:r>
    </w:p>
  </w:endnote>
  <w:endnote w:type="continuationSeparator" w:id="0">
    <w:p w14:paraId="3051A2D7" w14:textId="77777777" w:rsidR="00333017" w:rsidRDefault="0033301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336C" w14:textId="77777777" w:rsidR="00333017" w:rsidRDefault="00333017" w:rsidP="00A96CB2">
      <w:r>
        <w:separator/>
      </w:r>
    </w:p>
  </w:footnote>
  <w:footnote w:type="continuationSeparator" w:id="0">
    <w:p w14:paraId="0FB3E9E9" w14:textId="77777777" w:rsidR="00333017" w:rsidRDefault="0033301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8D2DA78" w:rsidR="005E1013" w:rsidRPr="004A6AA8" w:rsidRDefault="00ED22D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E6CA5">
                                <w:t>Assistant Practitioner – Disability, Health, &amp; Wellbeing</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8D2DA78" w:rsidR="005E1013" w:rsidRPr="004A6AA8" w:rsidRDefault="00ED22D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E6CA5">
                          <w:t>Assistant Practitioner – Disability, Health, &amp; Wellbeing</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5D0119F" w:rsidR="00AD6216" w:rsidRPr="004A6AA8" w:rsidRDefault="00ED22D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E6CA5">
                                <w:t>Assistant Practitioner – Disability, Health, &amp; Wellbeing</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5D0119F" w:rsidR="00AD6216" w:rsidRPr="004A6AA8" w:rsidRDefault="00ED22D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E6CA5">
                          <w:t>Assistant Practitioner – Disability, Health, &amp; Wellbeing</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B2F54A8"/>
    <w:multiLevelType w:val="multilevel"/>
    <w:tmpl w:val="F85455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053432">
    <w:abstractNumId w:val="5"/>
  </w:num>
  <w:num w:numId="2" w16cid:durableId="1506704629">
    <w:abstractNumId w:val="6"/>
  </w:num>
  <w:num w:numId="3" w16cid:durableId="1062602939">
    <w:abstractNumId w:val="3"/>
  </w:num>
  <w:num w:numId="4" w16cid:durableId="187260767">
    <w:abstractNumId w:val="2"/>
  </w:num>
  <w:num w:numId="5" w16cid:durableId="1683361357">
    <w:abstractNumId w:val="1"/>
  </w:num>
  <w:num w:numId="6" w16cid:durableId="362218437">
    <w:abstractNumId w:val="0"/>
  </w:num>
  <w:num w:numId="7" w16cid:durableId="925382931">
    <w:abstractNumId w:val="8"/>
  </w:num>
  <w:num w:numId="8" w16cid:durableId="932667645">
    <w:abstractNumId w:val="9"/>
  </w:num>
  <w:num w:numId="9" w16cid:durableId="1936356153">
    <w:abstractNumId w:val="10"/>
  </w:num>
  <w:num w:numId="10" w16cid:durableId="573705856">
    <w:abstractNumId w:val="4"/>
  </w:num>
  <w:num w:numId="11" w16cid:durableId="17352737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56BB2"/>
    <w:rsid w:val="001613CA"/>
    <w:rsid w:val="00166DFB"/>
    <w:rsid w:val="001730A7"/>
    <w:rsid w:val="00192749"/>
    <w:rsid w:val="00195D47"/>
    <w:rsid w:val="001A1E1C"/>
    <w:rsid w:val="001A4354"/>
    <w:rsid w:val="001A5D93"/>
    <w:rsid w:val="001B2A78"/>
    <w:rsid w:val="001E1018"/>
    <w:rsid w:val="00203534"/>
    <w:rsid w:val="0020468B"/>
    <w:rsid w:val="0020579B"/>
    <w:rsid w:val="00214E5E"/>
    <w:rsid w:val="00232ED5"/>
    <w:rsid w:val="00233201"/>
    <w:rsid w:val="0024338F"/>
    <w:rsid w:val="00254D53"/>
    <w:rsid w:val="0026053A"/>
    <w:rsid w:val="00266A7A"/>
    <w:rsid w:val="00272960"/>
    <w:rsid w:val="00273C52"/>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017"/>
    <w:rsid w:val="0033354B"/>
    <w:rsid w:val="003355CB"/>
    <w:rsid w:val="003469E4"/>
    <w:rsid w:val="003650D1"/>
    <w:rsid w:val="0038772C"/>
    <w:rsid w:val="0038785C"/>
    <w:rsid w:val="003A576E"/>
    <w:rsid w:val="003A591F"/>
    <w:rsid w:val="003B3ED7"/>
    <w:rsid w:val="003C6FE1"/>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50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3011"/>
    <w:rsid w:val="006F280C"/>
    <w:rsid w:val="007158A7"/>
    <w:rsid w:val="00721860"/>
    <w:rsid w:val="00722C6C"/>
    <w:rsid w:val="00723AA9"/>
    <w:rsid w:val="00735584"/>
    <w:rsid w:val="00750F11"/>
    <w:rsid w:val="00757D37"/>
    <w:rsid w:val="0076525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E6CA5"/>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4747"/>
    <w:rsid w:val="009A706F"/>
    <w:rsid w:val="009B15CD"/>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24BB1"/>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D73F7"/>
    <w:rsid w:val="00CE6F74"/>
    <w:rsid w:val="00CF320A"/>
    <w:rsid w:val="00CF326B"/>
    <w:rsid w:val="00D00FDB"/>
    <w:rsid w:val="00D01434"/>
    <w:rsid w:val="00D070A1"/>
    <w:rsid w:val="00D13D94"/>
    <w:rsid w:val="00D15202"/>
    <w:rsid w:val="00D331FB"/>
    <w:rsid w:val="00D352BC"/>
    <w:rsid w:val="00D37794"/>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05441"/>
    <w:rsid w:val="00E10AA4"/>
    <w:rsid w:val="00E12C2D"/>
    <w:rsid w:val="00E32957"/>
    <w:rsid w:val="00E4225D"/>
    <w:rsid w:val="00E4379F"/>
    <w:rsid w:val="00E653E9"/>
    <w:rsid w:val="00E8547A"/>
    <w:rsid w:val="00EA27A9"/>
    <w:rsid w:val="00EA41E7"/>
    <w:rsid w:val="00EA753A"/>
    <w:rsid w:val="00EB76F5"/>
    <w:rsid w:val="00EC4FA3"/>
    <w:rsid w:val="00ED22DA"/>
    <w:rsid w:val="00ED2F2C"/>
    <w:rsid w:val="00ED6078"/>
    <w:rsid w:val="00EE2075"/>
    <w:rsid w:val="00EE56E4"/>
    <w:rsid w:val="00EE6476"/>
    <w:rsid w:val="00F0798E"/>
    <w:rsid w:val="00F553DC"/>
    <w:rsid w:val="00F62430"/>
    <w:rsid w:val="00F63E60"/>
    <w:rsid w:val="00F66FA7"/>
    <w:rsid w:val="00F67D50"/>
    <w:rsid w:val="00F9670F"/>
    <w:rsid w:val="00FA0CDC"/>
    <w:rsid w:val="00FB0343"/>
    <w:rsid w:val="00FD75BE"/>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01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16F3"/>
    <w:rsid w:val="00CB6CF1"/>
    <w:rsid w:val="00D42D5B"/>
    <w:rsid w:val="00D43D3B"/>
    <w:rsid w:val="00DB2F17"/>
    <w:rsid w:val="00E136E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11</TotalTime>
  <Pages>6</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Assistant Practitioner – Disability, Health, &amp; Wellbeing</vt:lpstr>
    </vt:vector>
  </TitlesOfParts>
  <Manager>Human Resources</Manager>
  <Company>RehabWorks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Practitioner – Disability, Health, &amp; Wellbeing</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2023-04-14T11:43:00Z</dcterms:created>
  <dcterms:modified xsi:type="dcterms:W3CDTF">2023-04-14T11:43:00Z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