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3F3F073" w:rsidR="005E1013" w:rsidRDefault="006C1222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12519A">
            <w:rPr>
              <w:rStyle w:val="TitleChar"/>
            </w:rPr>
            <w:t>Credit Controller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D946F3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15115780" w:rsidR="009F68CA" w:rsidRDefault="00D946F3" w:rsidP="009F68CA">
            <w:pPr>
              <w:spacing w:before="100" w:after="100"/>
            </w:pPr>
            <w:r>
              <w:t>Credit Controller</w:t>
            </w:r>
          </w:p>
        </w:tc>
      </w:tr>
      <w:tr w:rsidR="009F68CA" w14:paraId="19AB6488" w14:textId="77777777" w:rsidTr="00D946F3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44586F6D" w:rsidR="009F68CA" w:rsidRDefault="009D6B51" w:rsidP="009F68CA">
            <w:pPr>
              <w:spacing w:before="100" w:after="100"/>
            </w:pPr>
            <w:r>
              <w:t xml:space="preserve">Finance </w:t>
            </w:r>
          </w:p>
        </w:tc>
      </w:tr>
      <w:tr w:rsidR="009F68CA" w14:paraId="5BA82C71" w14:textId="77777777" w:rsidTr="00D946F3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757A40C1" w:rsidR="009F68CA" w:rsidRDefault="002E09BB" w:rsidP="009F68CA">
            <w:pPr>
              <w:spacing w:before="100" w:after="100"/>
            </w:pPr>
            <w:r>
              <w:t>Bury St Edmunds / WFH</w:t>
            </w:r>
          </w:p>
        </w:tc>
      </w:tr>
      <w:tr w:rsidR="009F68CA" w14:paraId="61E91F65" w14:textId="77777777" w:rsidTr="00D946F3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36CBF5EF" w:rsidR="009F68CA" w:rsidRDefault="009D6B51" w:rsidP="009F68CA">
            <w:pPr>
              <w:spacing w:before="100" w:after="100"/>
            </w:pPr>
            <w:r>
              <w:t>Finance Manager</w:t>
            </w:r>
          </w:p>
        </w:tc>
      </w:tr>
      <w:tr w:rsidR="009F68CA" w14:paraId="13153721" w14:textId="77777777" w:rsidTr="00D946F3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79FF20D5" w:rsidR="009F68CA" w:rsidRDefault="006C1222" w:rsidP="009F68CA">
            <w:pPr>
              <w:spacing w:before="100" w:after="100"/>
            </w:pPr>
            <w:r>
              <w:t>TBC</w:t>
            </w:r>
          </w:p>
        </w:tc>
      </w:tr>
      <w:tr w:rsidR="009F68CA" w14:paraId="61110A87" w14:textId="77777777" w:rsidTr="00D946F3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3C37E01C" w:rsidR="009F68CA" w:rsidRDefault="006C1222" w:rsidP="009F68CA">
            <w:pPr>
              <w:spacing w:before="100" w:after="100"/>
            </w:pPr>
            <w:r>
              <w:t>TBC</w:t>
            </w:r>
          </w:p>
        </w:tc>
      </w:tr>
      <w:tr w:rsidR="009F68CA" w14:paraId="459E1B5F" w14:textId="77777777" w:rsidTr="00D946F3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69D6E2F" w:rsidR="009F68CA" w:rsidRDefault="006C1222" w:rsidP="009F68CA">
            <w:pPr>
              <w:spacing w:before="100" w:after="100"/>
            </w:pPr>
            <w:r>
              <w:t>TBC</w:t>
            </w:r>
          </w:p>
        </w:tc>
      </w:tr>
      <w:tr w:rsidR="009F68CA" w14:paraId="34A2BEBB" w14:textId="77777777" w:rsidTr="00D946F3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1A02DC81" w:rsidR="009F68CA" w:rsidRPr="009D6B51" w:rsidRDefault="009D6B51" w:rsidP="009D6B51">
            <w:pPr>
              <w:spacing w:after="240" w:line="360" w:lineRule="auto"/>
              <w:jc w:val="both"/>
            </w:pPr>
            <w:r>
              <w:rPr>
                <w:rFonts w:cs="Arial"/>
                <w:szCs w:val="22"/>
              </w:rPr>
              <w:t xml:space="preserve">The role contributes to the overall processing and activities of the finance function of the business.  </w:t>
            </w:r>
            <w:r w:rsidR="00D946F3">
              <w:rPr>
                <w:rFonts w:cs="Arial"/>
                <w:szCs w:val="22"/>
              </w:rPr>
              <w:t xml:space="preserve">Primary focus of the role is the sales ledger, </w:t>
            </w:r>
            <w:r w:rsidR="002E09BB">
              <w:rPr>
                <w:rFonts w:cs="Arial"/>
                <w:szCs w:val="22"/>
              </w:rPr>
              <w:t>production of customer invoices and credit control.</w:t>
            </w:r>
          </w:p>
        </w:tc>
      </w:tr>
      <w:tr w:rsidR="009F68CA" w14:paraId="3CFD1385" w14:textId="77777777" w:rsidTr="00D946F3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79C77CD" w14:textId="19F4F9B0" w:rsidR="009D6B51" w:rsidRDefault="009D6B51" w:rsidP="009D6B51">
            <w:pPr>
              <w:spacing w:line="360" w:lineRule="auto"/>
              <w:rPr>
                <w:rFonts w:cs="Arial"/>
                <w:b/>
                <w:iCs/>
                <w:szCs w:val="22"/>
              </w:rPr>
            </w:pPr>
            <w:r w:rsidRPr="009D6B51">
              <w:rPr>
                <w:rFonts w:cs="Arial"/>
                <w:b/>
                <w:iCs/>
                <w:szCs w:val="22"/>
              </w:rPr>
              <w:t>Accounts support</w:t>
            </w:r>
          </w:p>
          <w:p w14:paraId="661B8783" w14:textId="77777777" w:rsidR="009D6B51" w:rsidRPr="009D6B51" w:rsidRDefault="009D6B51" w:rsidP="009D6B51">
            <w:pPr>
              <w:spacing w:line="360" w:lineRule="auto"/>
              <w:rPr>
                <w:rFonts w:cs="Arial"/>
                <w:b/>
                <w:iCs/>
                <w:szCs w:val="22"/>
              </w:rPr>
            </w:pPr>
          </w:p>
          <w:p w14:paraId="38ACADC5" w14:textId="0CD127E2" w:rsidR="009D6B51" w:rsidRDefault="00D946F3" w:rsidP="009D6B51">
            <w:pPr>
              <w:pStyle w:val="BulletListDense"/>
            </w:pPr>
            <w:r>
              <w:t>Sales ledger and p</w:t>
            </w:r>
            <w:r w:rsidR="002E09BB">
              <w:t>roduction of customer sales invoices</w:t>
            </w:r>
          </w:p>
          <w:p w14:paraId="400AA364" w14:textId="0D2D8528" w:rsidR="009D6B51" w:rsidRDefault="002E09BB" w:rsidP="005727D5">
            <w:pPr>
              <w:pStyle w:val="BulletListDense"/>
            </w:pPr>
            <w:r>
              <w:t>Credit control</w:t>
            </w:r>
            <w:r w:rsidR="00D946F3">
              <w:t>, chasing of debts and collections allocations</w:t>
            </w:r>
          </w:p>
          <w:p w14:paraId="379CB090" w14:textId="7F3AA7FB" w:rsidR="005727D5" w:rsidRPr="005727D5" w:rsidRDefault="005727D5" w:rsidP="005727D5">
            <w:pPr>
              <w:pStyle w:val="BulletListDense"/>
              <w:numPr>
                <w:ilvl w:val="0"/>
                <w:numId w:val="0"/>
              </w:numPr>
            </w:pPr>
          </w:p>
          <w:p w14:paraId="44BDB607" w14:textId="7A610610" w:rsidR="009F68CA" w:rsidRPr="009D6B51" w:rsidRDefault="009F68CA" w:rsidP="009D6B51">
            <w:pPr>
              <w:spacing w:before="100" w:after="100"/>
            </w:pPr>
          </w:p>
        </w:tc>
      </w:tr>
      <w:tr w:rsidR="00D946F3" w14:paraId="01882A7A" w14:textId="77777777" w:rsidTr="00D946F3">
        <w:tc>
          <w:tcPr>
            <w:tcW w:w="3256" w:type="dxa"/>
            <w:vAlign w:val="center"/>
          </w:tcPr>
          <w:p w14:paraId="53E29B26" w14:textId="3901B4C8" w:rsidR="00D946F3" w:rsidRDefault="00D946F3" w:rsidP="009F68CA">
            <w:pPr>
              <w:spacing w:before="100" w:after="100"/>
            </w:pPr>
          </w:p>
        </w:tc>
        <w:tc>
          <w:tcPr>
            <w:tcW w:w="6706" w:type="dxa"/>
            <w:vAlign w:val="center"/>
          </w:tcPr>
          <w:p w14:paraId="3766E5BC" w14:textId="77777777" w:rsidR="00D946F3" w:rsidRDefault="00D946F3" w:rsidP="009F68CA">
            <w:pPr>
              <w:spacing w:before="100" w:after="100"/>
            </w:pPr>
          </w:p>
        </w:tc>
      </w:tr>
      <w:tr w:rsidR="00D946F3" w14:paraId="3161C07B" w14:textId="77777777" w:rsidTr="00D946F3">
        <w:tc>
          <w:tcPr>
            <w:tcW w:w="3256" w:type="dxa"/>
            <w:vAlign w:val="center"/>
          </w:tcPr>
          <w:p w14:paraId="5FD2413E" w14:textId="4155515F" w:rsidR="00D946F3" w:rsidRDefault="00D946F3" w:rsidP="009F68CA">
            <w:pPr>
              <w:spacing w:before="100" w:after="100"/>
            </w:pPr>
          </w:p>
        </w:tc>
        <w:tc>
          <w:tcPr>
            <w:tcW w:w="6706" w:type="dxa"/>
            <w:vAlign w:val="center"/>
          </w:tcPr>
          <w:p w14:paraId="201DC6D6" w14:textId="70ADBAB8" w:rsidR="00D946F3" w:rsidRPr="009F68CA" w:rsidRDefault="00D946F3" w:rsidP="00B70651">
            <w:pPr>
              <w:pStyle w:val="ListParagraph"/>
              <w:spacing w:before="100" w:after="100"/>
            </w:pPr>
          </w:p>
        </w:tc>
      </w:tr>
      <w:tr w:rsidR="00D946F3" w14:paraId="4004EF95" w14:textId="77777777" w:rsidTr="00D946F3">
        <w:tc>
          <w:tcPr>
            <w:tcW w:w="3256" w:type="dxa"/>
            <w:vAlign w:val="center"/>
          </w:tcPr>
          <w:p w14:paraId="0E220621" w14:textId="74ABC56F" w:rsidR="00D946F3" w:rsidRDefault="00D946F3" w:rsidP="009F68CA">
            <w:pPr>
              <w:spacing w:before="100" w:after="100"/>
            </w:pPr>
          </w:p>
        </w:tc>
        <w:tc>
          <w:tcPr>
            <w:tcW w:w="6706" w:type="dxa"/>
            <w:vAlign w:val="center"/>
          </w:tcPr>
          <w:p w14:paraId="4A51D27D" w14:textId="124A69B2" w:rsidR="00D946F3" w:rsidRPr="00966F66" w:rsidRDefault="00D946F3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3682E2D3" w14:textId="492A9DBB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F4D6F6D" w:rsidR="00966F66" w:rsidRPr="006C1222" w:rsidRDefault="00D946F3" w:rsidP="006C1222">
            <w:pPr>
              <w:pStyle w:val="BulletListDense"/>
              <w:rPr>
                <w:lang w:val="en-US"/>
              </w:rPr>
            </w:pPr>
            <w:r w:rsidRPr="006C1222">
              <w:t xml:space="preserve">AAT 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9D6B51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3DCB3CA" w14:textId="68E40986" w:rsidR="002E09BB" w:rsidRDefault="002E09BB" w:rsidP="002E09BB">
            <w:pPr>
              <w:pStyle w:val="BulletListDens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Credit control</w:t>
            </w:r>
          </w:p>
          <w:p w14:paraId="54EA25EC" w14:textId="77777777" w:rsidR="002E09BB" w:rsidRPr="009D6B51" w:rsidRDefault="002E09BB" w:rsidP="002E09BB">
            <w:pPr>
              <w:pStyle w:val="BulletListDense"/>
              <w:rPr>
                <w:lang w:val="en-US"/>
              </w:rPr>
            </w:pPr>
            <w:r>
              <w:rPr>
                <w:rFonts w:cs="Arial"/>
                <w:color w:val="000000"/>
              </w:rPr>
              <w:t>Sales ledger</w:t>
            </w:r>
          </w:p>
          <w:p w14:paraId="3B562B01" w14:textId="77777777" w:rsidR="00966F66" w:rsidRPr="00966F66" w:rsidRDefault="00966F66" w:rsidP="009D6B51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  <w:tc>
          <w:tcPr>
            <w:tcW w:w="3728" w:type="dxa"/>
          </w:tcPr>
          <w:p w14:paraId="73BCA857" w14:textId="77777777" w:rsidR="00966F66" w:rsidRPr="00966F66" w:rsidRDefault="00966F66" w:rsidP="00DD188D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D7BED8D" w14:textId="77777777" w:rsidR="009D6B51" w:rsidRDefault="009D6B51" w:rsidP="009D6B51">
            <w:pPr>
              <w:pStyle w:val="BulletListDens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Strong numerical skills</w:t>
            </w:r>
          </w:p>
          <w:p w14:paraId="46553721" w14:textId="77777777" w:rsidR="009D6B51" w:rsidRDefault="009D6B51" w:rsidP="009D6B51">
            <w:pPr>
              <w:pStyle w:val="BulletListDens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Good IT and Excel spreadsheet skills and experience  </w:t>
            </w:r>
          </w:p>
          <w:p w14:paraId="2F77305B" w14:textId="088E9555" w:rsidR="00966F66" w:rsidRPr="009F68CA" w:rsidRDefault="00966F66" w:rsidP="009D6B51">
            <w:pPr>
              <w:pStyle w:val="BulletListDense"/>
            </w:pPr>
            <w:r w:rsidRPr="009F68CA">
              <w:t>IT literate – intermediate level minimum</w:t>
            </w:r>
          </w:p>
        </w:tc>
        <w:tc>
          <w:tcPr>
            <w:tcW w:w="3728" w:type="dxa"/>
          </w:tcPr>
          <w:p w14:paraId="0A86D72C" w14:textId="3EE34067" w:rsidR="00966F66" w:rsidRPr="009D6B51" w:rsidRDefault="002E09BB" w:rsidP="00D946F3">
            <w:pPr>
              <w:pStyle w:val="BulletListDense"/>
            </w:pPr>
            <w:r>
              <w:rPr>
                <w:rFonts w:cs="Arial"/>
                <w:color w:val="000000"/>
              </w:rPr>
              <w:t>Experience using</w:t>
            </w:r>
            <w:r w:rsidR="00DD188D">
              <w:rPr>
                <w:rFonts w:cs="Arial"/>
                <w:color w:val="000000"/>
              </w:rPr>
              <w:t xml:space="preserve"> Microsoft</w:t>
            </w:r>
            <w:r w:rsidR="005727D5">
              <w:rPr>
                <w:rFonts w:cs="Arial"/>
                <w:color w:val="000000"/>
              </w:rPr>
              <w:t xml:space="preserve"> </w:t>
            </w:r>
            <w:r w:rsidR="00DD188D">
              <w:rPr>
                <w:rFonts w:cs="Arial"/>
                <w:color w:val="000000"/>
              </w:rPr>
              <w:t>D</w:t>
            </w:r>
            <w:r w:rsidR="005727D5">
              <w:rPr>
                <w:rFonts w:cs="Arial"/>
                <w:color w:val="000000"/>
              </w:rPr>
              <w:t>ynamics</w:t>
            </w:r>
            <w:r w:rsidR="00DD188D">
              <w:rPr>
                <w:rFonts w:cs="Arial"/>
                <w:color w:val="000000"/>
              </w:rPr>
              <w:t xml:space="preserve"> </w:t>
            </w:r>
          </w:p>
        </w:tc>
      </w:tr>
      <w:tr w:rsidR="0012519A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117D68F0" w:rsidR="0012519A" w:rsidRPr="003B3ED7" w:rsidRDefault="0012519A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32F7643" w14:textId="77777777" w:rsidR="0012519A" w:rsidRDefault="0012519A" w:rsidP="009D6B51">
            <w:pPr>
              <w:pStyle w:val="BulletListDense"/>
            </w:pPr>
            <w:r>
              <w:t xml:space="preserve">Tactful, diplomatic, and approachable </w:t>
            </w:r>
          </w:p>
          <w:p w14:paraId="1ED8AF39" w14:textId="77777777" w:rsidR="0012519A" w:rsidRDefault="0012519A" w:rsidP="009D6B51">
            <w:pPr>
              <w:pStyle w:val="BulletListDense"/>
            </w:pPr>
            <w:r>
              <w:t>Inquisitive mind</w:t>
            </w:r>
          </w:p>
          <w:p w14:paraId="79C6F119" w14:textId="77777777" w:rsidR="0012519A" w:rsidRDefault="0012519A" w:rsidP="009D6B51">
            <w:pPr>
              <w:pStyle w:val="BulletListDense"/>
            </w:pPr>
            <w:r>
              <w:t>Proactive and able to plan ahead</w:t>
            </w:r>
          </w:p>
          <w:p w14:paraId="601C52A7" w14:textId="77777777" w:rsidR="0012519A" w:rsidRDefault="0012519A" w:rsidP="009D6B51">
            <w:pPr>
              <w:pStyle w:val="BulletListDense"/>
            </w:pPr>
            <w:r>
              <w:t>Good telephone manner</w:t>
            </w:r>
          </w:p>
          <w:p w14:paraId="399BB333" w14:textId="77777777" w:rsidR="0012519A" w:rsidRDefault="0012519A" w:rsidP="009D6B51">
            <w:pPr>
              <w:pStyle w:val="BulletListDense"/>
            </w:pPr>
            <w:r>
              <w:t xml:space="preserve">A high level of confidentiality </w:t>
            </w:r>
          </w:p>
          <w:p w14:paraId="25367FE6" w14:textId="77777777" w:rsidR="0012519A" w:rsidRDefault="0012519A" w:rsidP="009D6B51">
            <w:pPr>
              <w:pStyle w:val="BulletListDense"/>
            </w:pPr>
            <w:r>
              <w:t xml:space="preserve">Ability to communicate well at all levels, with both external suppliers and customers and with other members of the team </w:t>
            </w:r>
          </w:p>
          <w:p w14:paraId="36D56243" w14:textId="77777777" w:rsidR="0012519A" w:rsidRDefault="0012519A" w:rsidP="009D6B51">
            <w:pPr>
              <w:pStyle w:val="BulletListDense"/>
            </w:pPr>
            <w:r>
              <w:t>The flexibility and willingness to learn</w:t>
            </w:r>
          </w:p>
          <w:p w14:paraId="332777A9" w14:textId="77777777" w:rsidR="0012519A" w:rsidRDefault="0012519A" w:rsidP="009D6B51">
            <w:pPr>
              <w:pStyle w:val="BulletListDense"/>
            </w:pPr>
            <w:r>
              <w:t xml:space="preserve">The ability to work as part of a team </w:t>
            </w:r>
          </w:p>
          <w:p w14:paraId="0C2667A3" w14:textId="77777777" w:rsidR="0012519A" w:rsidRPr="001D244A" w:rsidRDefault="0012519A" w:rsidP="009D6B51">
            <w:pPr>
              <w:pStyle w:val="BulletListDense"/>
              <w:rPr>
                <w:rFonts w:cs="Calibri"/>
              </w:rPr>
            </w:pPr>
            <w:r>
              <w:t>The ability to work accurately, with great attention to detail</w:t>
            </w:r>
          </w:p>
          <w:p w14:paraId="38629881" w14:textId="77777777" w:rsidR="0012519A" w:rsidRDefault="0012519A" w:rsidP="009D6B51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Interpersonal skills to engage and develop working alliances with colleagues and patients.</w:t>
            </w:r>
          </w:p>
          <w:p w14:paraId="398160DC" w14:textId="77777777" w:rsidR="0012519A" w:rsidRDefault="0012519A" w:rsidP="009D6B51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Excellent verbal and written communication skills</w:t>
            </w:r>
          </w:p>
          <w:p w14:paraId="336DA327" w14:textId="77777777" w:rsidR="0012519A" w:rsidRDefault="0012519A" w:rsidP="009D6B51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High level of enthusiasm and motivation</w:t>
            </w:r>
          </w:p>
          <w:p w14:paraId="43B4FABA" w14:textId="77777777" w:rsidR="006C1222" w:rsidRDefault="0012519A" w:rsidP="006C1222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Ability to work under pressure</w:t>
            </w:r>
          </w:p>
          <w:p w14:paraId="4102B15E" w14:textId="0AE9BAEE" w:rsidR="0012519A" w:rsidRPr="006C1222" w:rsidRDefault="0012519A" w:rsidP="006C1222">
            <w:pPr>
              <w:pStyle w:val="BulletListDense"/>
              <w:rPr>
                <w:rFonts w:cs="Calibri"/>
              </w:rPr>
            </w:pPr>
            <w:r w:rsidRPr="006C1222">
              <w:rPr>
                <w:rFonts w:cs="Calibri"/>
                <w:kern w:val="0"/>
              </w:rPr>
              <w:t>Excellent time management skills</w:t>
            </w:r>
          </w:p>
        </w:tc>
        <w:tc>
          <w:tcPr>
            <w:tcW w:w="3728" w:type="dxa"/>
          </w:tcPr>
          <w:p w14:paraId="1F5B2756" w14:textId="77777777" w:rsidR="0012519A" w:rsidRPr="00966F66" w:rsidRDefault="0012519A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bookmarkEnd w:id="0"/>
    </w:tbl>
    <w:p w14:paraId="6120BA58" w14:textId="4FB4B091" w:rsidR="002C1886" w:rsidRPr="006C1222" w:rsidRDefault="002C1886" w:rsidP="006C1222">
      <w:pPr>
        <w:tabs>
          <w:tab w:val="left" w:pos="1530"/>
        </w:tabs>
        <w:contextualSpacing/>
        <w:rPr>
          <w:rFonts w:cs="Calibri"/>
          <w:szCs w:val="22"/>
        </w:rPr>
      </w:pPr>
    </w:p>
    <w:sectPr w:rsidR="002C1886" w:rsidRPr="006C1222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15EE" w14:textId="77777777" w:rsidR="00B556DC" w:rsidRDefault="00B556DC" w:rsidP="00A96CB2">
      <w:r>
        <w:separator/>
      </w:r>
    </w:p>
  </w:endnote>
  <w:endnote w:type="continuationSeparator" w:id="0">
    <w:p w14:paraId="24FC5265" w14:textId="77777777" w:rsidR="00B556DC" w:rsidRDefault="00B556DC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16D0" w14:textId="77777777" w:rsidR="00B556DC" w:rsidRDefault="00B556DC" w:rsidP="00A96CB2">
      <w:r>
        <w:separator/>
      </w:r>
    </w:p>
  </w:footnote>
  <w:footnote w:type="continuationSeparator" w:id="0">
    <w:p w14:paraId="79C99207" w14:textId="77777777" w:rsidR="00B556DC" w:rsidRDefault="00B556DC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062FF14" w:rsidR="005E1013" w:rsidRPr="004A6AA8" w:rsidRDefault="006C1222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2519A">
                                <w:t>Credit Controller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062FF14" w:rsidR="005E1013" w:rsidRPr="004A6AA8" w:rsidRDefault="0012519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Credit Controller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93AAC37" w:rsidR="00AD6216" w:rsidRPr="004A6AA8" w:rsidRDefault="006C1222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2519A">
                                <w:t>Credit Controller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93AAC37" w:rsidR="00AD6216" w:rsidRPr="004A6AA8" w:rsidRDefault="0012519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Credit Controller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348.45pt;height:278.5pt" o:bullet="t">
        <v:imagedata r:id="rId1" o:title="VHG_petals_only_colour"/>
      </v:shape>
    </w:pict>
  </w:numPicBullet>
  <w:numPicBullet w:numPicBulletId="1">
    <w:pict>
      <v:shape id="_x0000_i1280" type="#_x0000_t75" style="width:3in;height:3in" o:bullet="t"/>
    </w:pict>
  </w:numPicBullet>
  <w:numPicBullet w:numPicBulletId="2">
    <w:pict>
      <v:shape id="_x0000_i1281" type="#_x0000_t75" style="width:3in;height:3in" o:bullet="t"/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4C48"/>
    <w:multiLevelType w:val="hybridMultilevel"/>
    <w:tmpl w:val="BBEA800E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109C"/>
    <w:multiLevelType w:val="multilevel"/>
    <w:tmpl w:val="415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D576D"/>
    <w:multiLevelType w:val="hybridMultilevel"/>
    <w:tmpl w:val="BBEA800E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86EAE"/>
    <w:multiLevelType w:val="multilevel"/>
    <w:tmpl w:val="415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20"/>
  </w:num>
  <w:num w:numId="9">
    <w:abstractNumId w:val="12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22"/>
  </w:num>
  <w:num w:numId="15">
    <w:abstractNumId w:val="21"/>
  </w:num>
  <w:num w:numId="16">
    <w:abstractNumId w:val="16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5"/>
  </w:num>
  <w:num w:numId="22">
    <w:abstractNumId w:val="13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2519A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09BB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27D5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C1222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6B51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556DC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46F3"/>
    <w:rsid w:val="00D962FC"/>
    <w:rsid w:val="00DA12CF"/>
    <w:rsid w:val="00DD188D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A54B73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2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Assistant</vt:lpstr>
    </vt:vector>
  </TitlesOfParts>
  <Manager>Human Resources</Manager>
  <Company>RehabWorks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Controller</dc:title>
  <dc:subject>Enter Sub-Title Of Policy</dc:subject>
  <dc:creator>Human Resources</dc:creator>
  <cp:keywords>TBC</cp:keywords>
  <dc:description>V1.1</dc:description>
  <cp:lastModifiedBy>Anne-Marie Hodder</cp:lastModifiedBy>
  <cp:revision>2</cp:revision>
  <cp:lastPrinted>2018-03-16T13:36:00Z</cp:lastPrinted>
  <dcterms:created xsi:type="dcterms:W3CDTF">2021-10-12T09:39:00Z</dcterms:created>
  <dcterms:modified xsi:type="dcterms:W3CDTF">2021-10-12T09:39:00Z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