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7AEE21C" w:rsidR="005E1013" w:rsidRDefault="009D585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32533">
            <w:rPr>
              <w:rStyle w:val="TitleChar"/>
            </w:rPr>
            <w:t>Senior Officer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1E83B867" w:rsidR="00C941CE" w:rsidRDefault="002D43EC" w:rsidP="002D43EC">
            <w:pPr>
              <w:spacing w:before="100" w:after="100"/>
            </w:pPr>
            <w:r>
              <w:t>Information Governance Senior Officer</w:t>
            </w:r>
          </w:p>
        </w:tc>
      </w:tr>
      <w:tr w:rsidR="00C941CE" w14:paraId="0D4CB2AA" w14:textId="77777777" w:rsidTr="00526D28">
        <w:tc>
          <w:tcPr>
            <w:tcW w:w="3256" w:type="dxa"/>
            <w:vAlign w:val="center"/>
          </w:tcPr>
          <w:p w14:paraId="3A976B8A" w14:textId="28FFF301" w:rsidR="00C941CE" w:rsidRDefault="00C941CE" w:rsidP="009F68CA">
            <w:pPr>
              <w:spacing w:before="100" w:after="100"/>
            </w:pPr>
            <w:r>
              <w:t>Term:</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0552F7" w14:textId="5E89BF89" w:rsidR="00C941CE" w:rsidRDefault="00C941CE" w:rsidP="002D43EC">
            <w:pPr>
              <w:spacing w:before="100" w:after="100"/>
            </w:pPr>
            <w:r>
              <w:t>Fixed term for 1 year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1C4FEC" w14:textId="77777777" w:rsidR="009F68CA" w:rsidRDefault="004F493B" w:rsidP="009F68CA">
            <w:pPr>
              <w:spacing w:before="100" w:after="100"/>
            </w:pPr>
            <w:r>
              <w:t>Governance</w:t>
            </w:r>
          </w:p>
          <w:p w14:paraId="0C25C0B4" w14:textId="6577ECEA" w:rsidR="00CE436D" w:rsidRDefault="00CE436D" w:rsidP="00CE436D">
            <w:pPr>
              <w:spacing w:before="100" w:after="100"/>
            </w:pPr>
            <w:r>
              <w:t>This may be a static or rotational post but will include working across all four Governance domains</w:t>
            </w:r>
            <w:r w:rsidR="00B7223F">
              <w:t xml:space="preserve"> to meet the needs of the department.</w:t>
            </w:r>
          </w:p>
          <w:p w14:paraId="14BFB5BA" w14:textId="1296CDF0" w:rsidR="00CE436D" w:rsidRDefault="00CE436D" w:rsidP="009F68CA">
            <w:pPr>
              <w:spacing w:before="100" w:after="100"/>
            </w:pP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429FFA75" w:rsidR="009F68CA" w:rsidRDefault="004F493B" w:rsidP="009F68CA">
            <w:pPr>
              <w:spacing w:before="100" w:after="100"/>
            </w:pPr>
            <w:r>
              <w:t>Remote</w:t>
            </w:r>
            <w:r w:rsidR="00BB21B1">
              <w:t xml:space="preserve"> with occasional travel</w:t>
            </w:r>
          </w:p>
        </w:tc>
      </w:tr>
      <w:tr w:rsidR="009F68CA" w14:paraId="61E91F65" w14:textId="77777777" w:rsidTr="00526D28">
        <w:tc>
          <w:tcPr>
            <w:tcW w:w="3256" w:type="dxa"/>
            <w:vAlign w:val="center"/>
          </w:tcPr>
          <w:p w14:paraId="5DBDD5AC" w14:textId="092B1798" w:rsidR="009F68CA" w:rsidRDefault="009F68CA" w:rsidP="009F68CA">
            <w:pPr>
              <w:spacing w:before="100" w:after="100"/>
            </w:pPr>
            <w:r w:rsidRPr="004518CA">
              <w:t>Reporting to</w:t>
            </w:r>
            <w:r>
              <w: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41DEEA12" w:rsidR="00520E16" w:rsidRPr="00DE555A" w:rsidRDefault="002D43EC" w:rsidP="002D43EC">
            <w:pPr>
              <w:pStyle w:val="BulletListDense"/>
              <w:numPr>
                <w:ilvl w:val="0"/>
                <w:numId w:val="0"/>
              </w:numPr>
              <w:ind w:left="360" w:hanging="360"/>
            </w:pPr>
            <w:r>
              <w:t>Information Governance Lead</w:t>
            </w:r>
          </w:p>
        </w:tc>
      </w:tr>
      <w:tr w:rsidR="009F68CA" w14:paraId="13153721" w14:textId="77777777" w:rsidTr="00966F66">
        <w:tc>
          <w:tcPr>
            <w:tcW w:w="3256" w:type="dxa"/>
            <w:vAlign w:val="center"/>
          </w:tcPr>
          <w:p w14:paraId="47666179" w14:textId="5C816983" w:rsidR="009F68CA" w:rsidRDefault="009F68CA" w:rsidP="009F68CA">
            <w:pPr>
              <w:spacing w:before="100" w:after="100"/>
            </w:pPr>
            <w:r>
              <w:t>Direct reports:</w:t>
            </w:r>
          </w:p>
        </w:tc>
        <w:tc>
          <w:tcPr>
            <w:tcW w:w="6706" w:type="dxa"/>
            <w:vAlign w:val="center"/>
          </w:tcPr>
          <w:p w14:paraId="3DB63B7E" w14:textId="64FF8FD3" w:rsidR="009F68CA" w:rsidRDefault="001F7B2B" w:rsidP="009F68CA">
            <w:pPr>
              <w:spacing w:before="100" w:after="100"/>
            </w:pPr>
            <w:r>
              <w:t>None</w:t>
            </w:r>
          </w:p>
        </w:tc>
      </w:tr>
      <w:tr w:rsidR="009F68CA" w14:paraId="61110A87" w14:textId="77777777" w:rsidTr="00966F66">
        <w:tc>
          <w:tcPr>
            <w:tcW w:w="3256" w:type="dxa"/>
            <w:vAlign w:val="center"/>
          </w:tcPr>
          <w:p w14:paraId="2FF0A51C" w14:textId="01057313" w:rsidR="009F68CA" w:rsidRDefault="009F68CA" w:rsidP="009F68CA">
            <w:pPr>
              <w:spacing w:before="100" w:after="100"/>
            </w:pPr>
            <w:r>
              <w:t xml:space="preserve">Accountable to: </w:t>
            </w:r>
          </w:p>
        </w:tc>
        <w:tc>
          <w:tcPr>
            <w:tcW w:w="6706" w:type="dxa"/>
            <w:vAlign w:val="center"/>
          </w:tcPr>
          <w:p w14:paraId="3DFAFEE2" w14:textId="491C5148" w:rsidR="009F68CA" w:rsidRDefault="00355EEB" w:rsidP="009F68CA">
            <w:pPr>
              <w:spacing w:before="100" w:after="100"/>
            </w:pPr>
            <w:r>
              <w:t>Director of Governance and Quality</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520D7CDD" w14:textId="485AA1ED" w:rsidR="00060E16" w:rsidRDefault="004F493B" w:rsidP="004F493B">
            <w:pPr>
              <w:rPr>
                <w:rFonts w:cs="Calibri"/>
                <w:bCs/>
              </w:rPr>
            </w:pPr>
            <w:r>
              <w:rPr>
                <w:rFonts w:cs="Calibri"/>
                <w:bCs/>
              </w:rPr>
              <w:t xml:space="preserve">To </w:t>
            </w:r>
            <w:r w:rsidR="009B5764">
              <w:rPr>
                <w:rFonts w:cs="Calibri"/>
                <w:bCs/>
              </w:rPr>
              <w:t>act as</w:t>
            </w:r>
            <w:r w:rsidR="00504A67">
              <w:rPr>
                <w:rFonts w:cs="Calibri"/>
                <w:bCs/>
              </w:rPr>
              <w:t xml:space="preserve"> a senior </w:t>
            </w:r>
            <w:r w:rsidR="00C04138">
              <w:rPr>
                <w:rFonts w:cs="Calibri"/>
                <w:bCs/>
              </w:rPr>
              <w:t xml:space="preserve">non-clinical </w:t>
            </w:r>
            <w:r w:rsidR="00504A67">
              <w:rPr>
                <w:rFonts w:cs="Calibri"/>
                <w:bCs/>
              </w:rPr>
              <w:t xml:space="preserve">officer within the Governance </w:t>
            </w:r>
            <w:r w:rsidR="005D2209">
              <w:rPr>
                <w:rFonts w:cs="Calibri"/>
                <w:bCs/>
              </w:rPr>
              <w:t>department</w:t>
            </w:r>
            <w:r w:rsidR="00E30EFC">
              <w:rPr>
                <w:rFonts w:cs="Calibri"/>
                <w:bCs/>
              </w:rPr>
              <w:t xml:space="preserve"> </w:t>
            </w:r>
            <w:r w:rsidR="00504A67">
              <w:rPr>
                <w:rFonts w:cs="Calibri"/>
                <w:bCs/>
              </w:rPr>
              <w:t xml:space="preserve">ensuring key </w:t>
            </w:r>
            <w:r w:rsidR="006F1D94">
              <w:rPr>
                <w:rFonts w:cs="Calibri"/>
                <w:bCs/>
              </w:rPr>
              <w:t>activities</w:t>
            </w:r>
            <w:r w:rsidR="009D6E7F">
              <w:rPr>
                <w:rFonts w:cs="Calibri"/>
                <w:bCs/>
              </w:rPr>
              <w:t xml:space="preserve"> are completed</w:t>
            </w:r>
            <w:r w:rsidR="006F1D94">
              <w:rPr>
                <w:rFonts w:cs="Calibri"/>
                <w:bCs/>
              </w:rPr>
              <w:t xml:space="preserve"> in relation to</w:t>
            </w:r>
            <w:r w:rsidR="009D6E7F">
              <w:rPr>
                <w:rFonts w:cs="Calibri"/>
                <w:bCs/>
              </w:rPr>
              <w:t xml:space="preserve"> the Governance </w:t>
            </w:r>
            <w:r w:rsidR="00FE046E">
              <w:rPr>
                <w:rFonts w:cs="Calibri"/>
                <w:bCs/>
              </w:rPr>
              <w:t xml:space="preserve">agenda, </w:t>
            </w:r>
            <w:r w:rsidR="009D6E7F">
              <w:rPr>
                <w:rFonts w:cs="Calibri"/>
                <w:bCs/>
              </w:rPr>
              <w:t>framework</w:t>
            </w:r>
            <w:r w:rsidR="002B5A8B">
              <w:rPr>
                <w:rFonts w:cs="Calibri"/>
                <w:bCs/>
              </w:rPr>
              <w:t>,</w:t>
            </w:r>
            <w:r w:rsidR="00FE046E">
              <w:rPr>
                <w:rFonts w:cs="Calibri"/>
                <w:bCs/>
              </w:rPr>
              <w:t xml:space="preserve"> and strategy</w:t>
            </w:r>
            <w:r w:rsidR="002B5A8B">
              <w:rPr>
                <w:rFonts w:cs="Calibri"/>
                <w:bCs/>
              </w:rPr>
              <w:t>. To support</w:t>
            </w:r>
            <w:r>
              <w:rPr>
                <w:rFonts w:cs="Calibri"/>
                <w:bCs/>
              </w:rPr>
              <w:t xml:space="preserve"> </w:t>
            </w:r>
            <w:r w:rsidR="00795FE6">
              <w:rPr>
                <w:rFonts w:cs="Calibri"/>
                <w:bCs/>
              </w:rPr>
              <w:t>Governance Leads</w:t>
            </w:r>
            <w:r w:rsidR="00416A41">
              <w:rPr>
                <w:rFonts w:cs="Calibri"/>
                <w:bCs/>
              </w:rPr>
              <w:t>,</w:t>
            </w:r>
            <w:r w:rsidR="00B3389B">
              <w:rPr>
                <w:rFonts w:cs="Calibri"/>
                <w:bCs/>
              </w:rPr>
              <w:t xml:space="preserve"> </w:t>
            </w:r>
            <w:proofErr w:type="gramStart"/>
            <w:r w:rsidR="004E41EB">
              <w:rPr>
                <w:rFonts w:cs="Calibri"/>
                <w:bCs/>
              </w:rPr>
              <w:t>Director</w:t>
            </w:r>
            <w:r w:rsidR="00B3389B">
              <w:rPr>
                <w:rFonts w:cs="Calibri"/>
                <w:bCs/>
              </w:rPr>
              <w:t>s</w:t>
            </w:r>
            <w:proofErr w:type="gramEnd"/>
            <w:r w:rsidR="00416A41">
              <w:rPr>
                <w:rFonts w:cs="Calibri"/>
                <w:bCs/>
              </w:rPr>
              <w:t xml:space="preserve"> and the wider team</w:t>
            </w:r>
            <w:r w:rsidR="004E41EB">
              <w:rPr>
                <w:rFonts w:cs="Calibri"/>
                <w:bCs/>
              </w:rPr>
              <w:t xml:space="preserve"> to </w:t>
            </w:r>
            <w:r w:rsidR="00FC60C6">
              <w:rPr>
                <w:rFonts w:cs="Calibri"/>
                <w:bCs/>
              </w:rPr>
              <w:t xml:space="preserve">achieve </w:t>
            </w:r>
            <w:r w:rsidR="00795FE6">
              <w:rPr>
                <w:rFonts w:cs="Calibri"/>
                <w:bCs/>
              </w:rPr>
              <w:t>their objectives with regards to</w:t>
            </w:r>
            <w:r w:rsidR="00BA2EBD">
              <w:rPr>
                <w:rFonts w:cs="Calibri"/>
                <w:bCs/>
              </w:rPr>
              <w:t xml:space="preserve"> the four key domains identified within the governance structure. These </w:t>
            </w:r>
            <w:r w:rsidR="00060E16">
              <w:rPr>
                <w:rFonts w:cs="Calibri"/>
                <w:bCs/>
              </w:rPr>
              <w:t>are:</w:t>
            </w:r>
          </w:p>
          <w:p w14:paraId="54FA8310" w14:textId="77777777" w:rsidR="00E65335" w:rsidRDefault="00E65335" w:rsidP="004F493B">
            <w:pPr>
              <w:rPr>
                <w:rFonts w:cs="Calibri"/>
                <w:bCs/>
              </w:rPr>
            </w:pPr>
          </w:p>
          <w:p w14:paraId="5E49B8B9" w14:textId="77777777" w:rsidR="00060E16" w:rsidRDefault="009E17C6" w:rsidP="00060E16">
            <w:pPr>
              <w:pStyle w:val="BulletListDense"/>
            </w:pPr>
            <w:r>
              <w:t xml:space="preserve">Experience </w:t>
            </w:r>
            <w:r w:rsidR="00B16AD2">
              <w:t>&amp;</w:t>
            </w:r>
            <w:r>
              <w:t xml:space="preserve"> Feedback</w:t>
            </w:r>
          </w:p>
          <w:p w14:paraId="520D08B2" w14:textId="77777777" w:rsidR="00060E16" w:rsidRDefault="009E17C6" w:rsidP="00060E16">
            <w:pPr>
              <w:pStyle w:val="BulletListDense"/>
            </w:pPr>
            <w:r>
              <w:t>Information Governance</w:t>
            </w:r>
          </w:p>
          <w:p w14:paraId="7E1D0E38" w14:textId="77777777" w:rsidR="00060E16" w:rsidRDefault="009E17C6" w:rsidP="00060E16">
            <w:pPr>
              <w:pStyle w:val="BulletListDense"/>
            </w:pPr>
            <w:r>
              <w:t xml:space="preserve">Safety </w:t>
            </w:r>
            <w:r w:rsidR="00B16AD2">
              <w:t>&amp;</w:t>
            </w:r>
            <w:r>
              <w:t xml:space="preserve"> Risk</w:t>
            </w:r>
          </w:p>
          <w:p w14:paraId="147A226C" w14:textId="77777777" w:rsidR="009F68CA" w:rsidRDefault="00386514" w:rsidP="00B3389B">
            <w:pPr>
              <w:pStyle w:val="BulletListDense"/>
            </w:pPr>
            <w:r>
              <w:t>Quality &amp; Compliance</w:t>
            </w:r>
          </w:p>
          <w:p w14:paraId="027DF167" w14:textId="386CCEEA" w:rsidR="00142FF8" w:rsidRPr="00B3389B" w:rsidRDefault="00142FF8" w:rsidP="00E30EFC">
            <w:pPr>
              <w:pStyle w:val="BulletListDense"/>
              <w:numPr>
                <w:ilvl w:val="0"/>
                <w:numId w:val="0"/>
              </w:numPr>
              <w:ind w:left="360" w:hanging="360"/>
            </w:pPr>
          </w:p>
        </w:tc>
      </w:tr>
      <w:tr w:rsidR="003031A8" w14:paraId="33124A50" w14:textId="77777777" w:rsidTr="00966F66">
        <w:tc>
          <w:tcPr>
            <w:tcW w:w="3256" w:type="dxa"/>
            <w:vAlign w:val="center"/>
          </w:tcPr>
          <w:p w14:paraId="1FA38668" w14:textId="69DDE4DF" w:rsidR="003031A8" w:rsidRDefault="00747019" w:rsidP="009F68CA">
            <w:pPr>
              <w:spacing w:before="100" w:after="100"/>
            </w:pPr>
            <w:r>
              <w:t>Role and Responsibilities</w:t>
            </w:r>
          </w:p>
        </w:tc>
        <w:tc>
          <w:tcPr>
            <w:tcW w:w="6706" w:type="dxa"/>
            <w:vAlign w:val="center"/>
          </w:tcPr>
          <w:p w14:paraId="0B3467BA" w14:textId="77777777" w:rsidR="003031A8" w:rsidRDefault="003031A8" w:rsidP="00B3389B">
            <w:pPr>
              <w:pStyle w:val="BulletListDense"/>
              <w:numPr>
                <w:ilvl w:val="0"/>
                <w:numId w:val="0"/>
              </w:numPr>
              <w:rPr>
                <w:b/>
                <w:bCs/>
              </w:rPr>
            </w:pPr>
            <w:r>
              <w:rPr>
                <w:b/>
                <w:bCs/>
              </w:rPr>
              <w:t>Information Governance</w:t>
            </w:r>
          </w:p>
          <w:p w14:paraId="0329224A" w14:textId="77777777" w:rsidR="003C044C" w:rsidRDefault="0065774A" w:rsidP="003916F2">
            <w:pPr>
              <w:pStyle w:val="BulletListDense"/>
              <w:numPr>
                <w:ilvl w:val="0"/>
                <w:numId w:val="0"/>
              </w:numPr>
              <w:ind w:left="360" w:hanging="360"/>
              <w:rPr>
                <w:b/>
                <w:bCs/>
              </w:rPr>
            </w:pPr>
            <w:r>
              <w:rPr>
                <w:b/>
                <w:bCs/>
              </w:rPr>
              <w:t xml:space="preserve">Support the IG </w:t>
            </w:r>
            <w:r w:rsidR="003C044C">
              <w:rPr>
                <w:b/>
                <w:bCs/>
              </w:rPr>
              <w:t>Lead and wider t</w:t>
            </w:r>
            <w:r>
              <w:rPr>
                <w:b/>
                <w:bCs/>
              </w:rPr>
              <w:t>eam</w:t>
            </w:r>
            <w:r w:rsidR="00AB3482">
              <w:rPr>
                <w:b/>
                <w:bCs/>
              </w:rPr>
              <w:t xml:space="preserve"> to</w:t>
            </w:r>
            <w:r w:rsidR="003C044C">
              <w:rPr>
                <w:b/>
                <w:bCs/>
              </w:rPr>
              <w:t>:</w:t>
            </w:r>
          </w:p>
          <w:p w14:paraId="23B3BD5C" w14:textId="0FF9D72F" w:rsidR="00BE5017" w:rsidRDefault="003C044C" w:rsidP="003916F2">
            <w:pPr>
              <w:pStyle w:val="BulletListDense"/>
              <w:numPr>
                <w:ilvl w:val="0"/>
                <w:numId w:val="0"/>
              </w:numPr>
              <w:ind w:left="360" w:hanging="360"/>
              <w:rPr>
                <w:rFonts w:cs="Calibri"/>
                <w:bCs/>
              </w:rPr>
            </w:pPr>
            <w:r>
              <w:rPr>
                <w:rFonts w:cs="Calibri"/>
                <w:bCs/>
              </w:rPr>
              <w:t>Scrutinise, monitor, review and report on IG</w:t>
            </w:r>
            <w:r w:rsidR="00DA0293">
              <w:rPr>
                <w:rFonts w:cs="Calibri"/>
                <w:bCs/>
              </w:rPr>
              <w:t xml:space="preserve"> </w:t>
            </w:r>
            <w:r>
              <w:rPr>
                <w:rFonts w:cs="Calibri"/>
                <w:bCs/>
              </w:rPr>
              <w:t xml:space="preserve">activities </w:t>
            </w:r>
            <w:proofErr w:type="gramStart"/>
            <w:r>
              <w:rPr>
                <w:rFonts w:cs="Calibri"/>
                <w:bCs/>
              </w:rPr>
              <w:t>including</w:t>
            </w:r>
            <w:proofErr w:type="gramEnd"/>
            <w:r w:rsidR="00BE5017">
              <w:rPr>
                <w:rFonts w:cs="Calibri"/>
                <w:bCs/>
              </w:rPr>
              <w:t xml:space="preserve"> </w:t>
            </w:r>
          </w:p>
          <w:p w14:paraId="06120611" w14:textId="1FABFA72" w:rsidR="00DA0293" w:rsidRDefault="003C044C" w:rsidP="003916F2">
            <w:pPr>
              <w:pStyle w:val="BulletListDense"/>
              <w:numPr>
                <w:ilvl w:val="0"/>
                <w:numId w:val="0"/>
              </w:numPr>
              <w:ind w:left="360" w:hanging="360"/>
              <w:rPr>
                <w:rFonts w:cs="Calibri"/>
                <w:bCs/>
              </w:rPr>
            </w:pPr>
            <w:r>
              <w:rPr>
                <w:rFonts w:cs="Calibri"/>
                <w:bCs/>
              </w:rPr>
              <w:t xml:space="preserve">protocols, procedures, statutory and regulatory compliance. These </w:t>
            </w:r>
          </w:p>
          <w:p w14:paraId="425A67CC" w14:textId="00F16FF6" w:rsidR="003031A8" w:rsidRPr="003916F2" w:rsidRDefault="003C044C" w:rsidP="003916F2">
            <w:pPr>
              <w:pStyle w:val="BulletListDense"/>
              <w:numPr>
                <w:ilvl w:val="0"/>
                <w:numId w:val="0"/>
              </w:numPr>
              <w:ind w:left="360" w:hanging="360"/>
              <w:rPr>
                <w:b/>
                <w:bCs/>
              </w:rPr>
            </w:pPr>
            <w:r>
              <w:rPr>
                <w:rFonts w:cs="Calibri"/>
                <w:bCs/>
              </w:rPr>
              <w:t xml:space="preserve">include but are not exclusive to: </w:t>
            </w:r>
            <w:r w:rsidR="00BE23CC" w:rsidRPr="003916F2">
              <w:rPr>
                <w:b/>
                <w:bCs/>
              </w:rPr>
              <w:t xml:space="preserve"> </w:t>
            </w:r>
          </w:p>
          <w:p w14:paraId="7294C0B9" w14:textId="77777777" w:rsidR="00BE23CC" w:rsidRDefault="003916F2" w:rsidP="003031A8">
            <w:pPr>
              <w:pStyle w:val="BulletListDense"/>
            </w:pPr>
            <w:r>
              <w:t>Record of processing activities (ROPA)</w:t>
            </w:r>
          </w:p>
          <w:p w14:paraId="78E00815" w14:textId="7342194C" w:rsidR="00AB3482" w:rsidRPr="003D7868" w:rsidRDefault="0065774A" w:rsidP="003D7868">
            <w:pPr>
              <w:pStyle w:val="BulletListDense"/>
            </w:pPr>
            <w:r>
              <w:t>Data protection impact assessments (DPIA)</w:t>
            </w:r>
          </w:p>
          <w:p w14:paraId="70B1DFAC" w14:textId="6BEF6B9C" w:rsidR="003D5CE0" w:rsidRDefault="003D5CE0" w:rsidP="0065774A">
            <w:pPr>
              <w:pStyle w:val="BulletListDense"/>
            </w:pPr>
            <w:r>
              <w:lastRenderedPageBreak/>
              <w:t>Data sharing agreements (DSA)</w:t>
            </w:r>
          </w:p>
          <w:p w14:paraId="768CA8EE" w14:textId="1C0135EE" w:rsidR="00527F54" w:rsidRPr="003D7868" w:rsidRDefault="003D5CE0" w:rsidP="003D7868">
            <w:pPr>
              <w:pStyle w:val="BulletListDense"/>
            </w:pPr>
            <w:r>
              <w:t>IG a</w:t>
            </w:r>
            <w:r w:rsidR="00527F54">
              <w:t>udit</w:t>
            </w:r>
            <w:r w:rsidR="002429BC">
              <w:t>s</w:t>
            </w:r>
          </w:p>
          <w:p w14:paraId="5B8871B7" w14:textId="68F02326" w:rsidR="00527F54" w:rsidRDefault="00527F54" w:rsidP="0065774A">
            <w:pPr>
              <w:pStyle w:val="BulletListDense"/>
            </w:pPr>
            <w:r>
              <w:t xml:space="preserve">ISO </w:t>
            </w:r>
            <w:r w:rsidR="00E25CC6">
              <w:t xml:space="preserve">9001 and </w:t>
            </w:r>
            <w:r>
              <w:t>27001</w:t>
            </w:r>
            <w:r w:rsidR="002429BC">
              <w:t xml:space="preserve"> </w:t>
            </w:r>
            <w:proofErr w:type="gramStart"/>
            <w:r w:rsidR="002429BC">
              <w:t>compliance</w:t>
            </w:r>
            <w:proofErr w:type="gramEnd"/>
          </w:p>
          <w:p w14:paraId="2CF3AC7A" w14:textId="0ECB938E" w:rsidR="002429BC" w:rsidRPr="002429BC" w:rsidRDefault="00407655" w:rsidP="002429BC">
            <w:pPr>
              <w:pStyle w:val="BulletListDense"/>
            </w:pPr>
            <w:r>
              <w:t>G</w:t>
            </w:r>
            <w:r w:rsidR="002429BC" w:rsidRPr="002429BC">
              <w:t>overnance of clinical information</w:t>
            </w:r>
          </w:p>
          <w:p w14:paraId="29E06CBD" w14:textId="66D13986" w:rsidR="003D5CE0" w:rsidRDefault="003D5CE0" w:rsidP="0065774A">
            <w:pPr>
              <w:pStyle w:val="BulletListDense"/>
            </w:pPr>
            <w:r>
              <w:t>Due diligence</w:t>
            </w:r>
            <w:r w:rsidR="00204178">
              <w:t xml:space="preserve"> compliance</w:t>
            </w:r>
          </w:p>
          <w:p w14:paraId="6135E623" w14:textId="77777777" w:rsidR="00731D7C" w:rsidRPr="00731D7C" w:rsidRDefault="00731D7C" w:rsidP="00731D7C">
            <w:pPr>
              <w:pStyle w:val="BulletListDense"/>
            </w:pPr>
            <w:r w:rsidRPr="00731D7C">
              <w:t xml:space="preserve">Ensuring record archiving </w:t>
            </w:r>
          </w:p>
          <w:p w14:paraId="6BCAA4C1" w14:textId="5E81D9B1" w:rsidR="00731D7C" w:rsidRDefault="00731D7C" w:rsidP="00731D7C">
            <w:pPr>
              <w:pStyle w:val="BulletListDense"/>
            </w:pPr>
            <w:r w:rsidRPr="00731D7C">
              <w:t xml:space="preserve">Managing </w:t>
            </w:r>
            <w:r w:rsidR="00E67A69">
              <w:t xml:space="preserve">and processing </w:t>
            </w:r>
            <w:r w:rsidRPr="00731D7C">
              <w:t>subject access requests and ensuring these meet statutory timeframes</w:t>
            </w:r>
            <w:r w:rsidR="00E67A69">
              <w:t xml:space="preserve"> and </w:t>
            </w:r>
            <w:proofErr w:type="gramStart"/>
            <w:r w:rsidR="00E67A69">
              <w:t>SLA’s</w:t>
            </w:r>
            <w:proofErr w:type="gramEnd"/>
          </w:p>
          <w:p w14:paraId="41A71792" w14:textId="2AB4DCA0" w:rsidR="00C87148" w:rsidRPr="00731D7C" w:rsidRDefault="00A01FD0" w:rsidP="00731D7C">
            <w:pPr>
              <w:pStyle w:val="BulletListDense"/>
            </w:pPr>
            <w:r>
              <w:t>Supporting with data breach incident investigations</w:t>
            </w:r>
          </w:p>
          <w:p w14:paraId="519867E7" w14:textId="416C04EA" w:rsidR="00731D7C" w:rsidRDefault="00731D7C" w:rsidP="00AC6C00">
            <w:pPr>
              <w:pStyle w:val="BulletListDense"/>
              <w:spacing w:line="276" w:lineRule="auto"/>
            </w:pPr>
            <w:r w:rsidRPr="00731D7C">
              <w:t xml:space="preserve">Collation of documentation including surveys, toolkits, questionnaires </w:t>
            </w:r>
          </w:p>
          <w:p w14:paraId="16408AA4" w14:textId="36894613" w:rsidR="00CE517C" w:rsidRDefault="00CE517C" w:rsidP="00120557">
            <w:pPr>
              <w:pStyle w:val="BulletListDense"/>
            </w:pPr>
            <w:r>
              <w:t>Understand</w:t>
            </w:r>
            <w:r w:rsidRPr="00BB21C7">
              <w:t xml:space="preserve"> the use of systems and process</w:t>
            </w:r>
            <w:r w:rsidR="004150FB">
              <w:t>es</w:t>
            </w:r>
            <w:r w:rsidRPr="00BB21C7">
              <w:t xml:space="preserve"> throughout the organisation </w:t>
            </w:r>
            <w:r w:rsidRPr="00120557">
              <w:t>including the different patient management systems</w:t>
            </w:r>
            <w:r w:rsidR="00120557">
              <w:t xml:space="preserve">, </w:t>
            </w:r>
            <w:r w:rsidRPr="00120557">
              <w:t>Radar risk management system</w:t>
            </w:r>
            <w:r w:rsidR="00120557">
              <w:t xml:space="preserve"> and the ticketing </w:t>
            </w:r>
            <w:proofErr w:type="gramStart"/>
            <w:r w:rsidR="00120557">
              <w:t>system</w:t>
            </w:r>
            <w:proofErr w:type="gramEnd"/>
          </w:p>
          <w:p w14:paraId="5A3DC1E5" w14:textId="4B521A86" w:rsidR="00874D19" w:rsidRDefault="00874D19" w:rsidP="00874D19">
            <w:pPr>
              <w:pStyle w:val="BulletListDense"/>
            </w:pPr>
            <w:r>
              <w:t xml:space="preserve">Produce monthly reports relevant to this domain for the Leadership team and wider business as </w:t>
            </w:r>
            <w:proofErr w:type="gramStart"/>
            <w:r>
              <w:t>required</w:t>
            </w:r>
            <w:proofErr w:type="gramEnd"/>
          </w:p>
          <w:p w14:paraId="5F67FAED" w14:textId="695FB35F" w:rsidR="00897505" w:rsidRPr="00897505" w:rsidRDefault="00897505" w:rsidP="00897505">
            <w:pPr>
              <w:pStyle w:val="BulletListDense"/>
            </w:pPr>
            <w:r>
              <w:t>Other ad hoc duties</w:t>
            </w:r>
          </w:p>
        </w:tc>
      </w:tr>
      <w:tr w:rsidR="00171CA9" w14:paraId="5B70C149" w14:textId="77777777" w:rsidTr="00966F66">
        <w:tc>
          <w:tcPr>
            <w:tcW w:w="3256" w:type="dxa"/>
            <w:vAlign w:val="center"/>
          </w:tcPr>
          <w:p w14:paraId="45B24AF3" w14:textId="77777777" w:rsidR="00171CA9" w:rsidRDefault="00171CA9" w:rsidP="00171CA9">
            <w:pPr>
              <w:spacing w:before="100" w:after="100"/>
            </w:pPr>
          </w:p>
        </w:tc>
        <w:tc>
          <w:tcPr>
            <w:tcW w:w="6706" w:type="dxa"/>
            <w:vAlign w:val="center"/>
          </w:tcPr>
          <w:p w14:paraId="23FBD922" w14:textId="77777777" w:rsidR="00171CA9" w:rsidRDefault="00171CA9" w:rsidP="00171CA9">
            <w:pPr>
              <w:pStyle w:val="BulletListDense"/>
              <w:numPr>
                <w:ilvl w:val="0"/>
                <w:numId w:val="0"/>
              </w:numPr>
              <w:rPr>
                <w:b/>
                <w:bCs/>
              </w:rPr>
            </w:pPr>
            <w:r>
              <w:rPr>
                <w:b/>
                <w:bCs/>
              </w:rPr>
              <w:t>Experience &amp; Feedback</w:t>
            </w:r>
          </w:p>
          <w:p w14:paraId="0FC5B6DC" w14:textId="77777777" w:rsidR="00171CA9" w:rsidRPr="00B442D7" w:rsidRDefault="00171CA9" w:rsidP="00171CA9">
            <w:pPr>
              <w:pStyle w:val="BulletListDense"/>
              <w:numPr>
                <w:ilvl w:val="0"/>
                <w:numId w:val="0"/>
              </w:numPr>
              <w:ind w:left="360" w:hanging="360"/>
              <w:rPr>
                <w:b/>
                <w:bCs/>
              </w:rPr>
            </w:pPr>
            <w:r w:rsidRPr="00B442D7">
              <w:rPr>
                <w:b/>
                <w:bCs/>
              </w:rPr>
              <w:t xml:space="preserve">Support the </w:t>
            </w:r>
            <w:r>
              <w:rPr>
                <w:b/>
                <w:bCs/>
              </w:rPr>
              <w:t>Experience &amp; Feedback</w:t>
            </w:r>
            <w:r w:rsidRPr="00B442D7">
              <w:rPr>
                <w:b/>
                <w:bCs/>
              </w:rPr>
              <w:t xml:space="preserve"> Lead and wider team to:</w:t>
            </w:r>
          </w:p>
          <w:p w14:paraId="2F04D0AB" w14:textId="77777777" w:rsidR="00171CA9" w:rsidRDefault="00171CA9" w:rsidP="00171CA9">
            <w:pPr>
              <w:pStyle w:val="BulletListDense"/>
              <w:numPr>
                <w:ilvl w:val="0"/>
                <w:numId w:val="0"/>
              </w:numPr>
              <w:ind w:left="360" w:hanging="360"/>
            </w:pPr>
            <w:r w:rsidRPr="00B442D7">
              <w:t xml:space="preserve">Scrutinise, monitor, review and report on </w:t>
            </w:r>
            <w:r>
              <w:t>experience and feedback.</w:t>
            </w:r>
            <w:r w:rsidRPr="00B442D7">
              <w:t xml:space="preserve"> </w:t>
            </w:r>
          </w:p>
          <w:p w14:paraId="66C5F32E" w14:textId="77777777" w:rsidR="00171CA9" w:rsidRDefault="00171CA9" w:rsidP="00171CA9">
            <w:pPr>
              <w:pStyle w:val="BulletListDense"/>
              <w:numPr>
                <w:ilvl w:val="0"/>
                <w:numId w:val="0"/>
              </w:numPr>
              <w:ind w:left="360" w:hanging="360"/>
            </w:pPr>
            <w:r w:rsidRPr="00B442D7">
              <w:t xml:space="preserve">activities including protocols, procedures, statutory and </w:t>
            </w:r>
            <w:proofErr w:type="gramStart"/>
            <w:r w:rsidRPr="00B442D7">
              <w:t>regulatory</w:t>
            </w:r>
            <w:proofErr w:type="gramEnd"/>
          </w:p>
          <w:p w14:paraId="530F1B5A" w14:textId="77777777" w:rsidR="00171CA9" w:rsidRPr="00B442D7" w:rsidRDefault="00171CA9" w:rsidP="00171CA9">
            <w:pPr>
              <w:pStyle w:val="BulletListDense"/>
              <w:numPr>
                <w:ilvl w:val="0"/>
                <w:numId w:val="0"/>
              </w:numPr>
              <w:ind w:left="360" w:hanging="360"/>
            </w:pPr>
            <w:r w:rsidRPr="00B442D7">
              <w:t xml:space="preserve">compliance. These include but are not exclusive to:  </w:t>
            </w:r>
          </w:p>
          <w:p w14:paraId="05993E44" w14:textId="77777777" w:rsidR="00171CA9" w:rsidRDefault="00171CA9" w:rsidP="00171CA9">
            <w:pPr>
              <w:pStyle w:val="ListParagraph"/>
              <w:ind w:left="0"/>
              <w:jc w:val="both"/>
              <w:rPr>
                <w:rFonts w:cs="Calibri"/>
                <w:b/>
              </w:rPr>
            </w:pPr>
            <w:r>
              <w:rPr>
                <w:rFonts w:cs="Calibri"/>
                <w:b/>
              </w:rPr>
              <w:t xml:space="preserve">Complaints </w:t>
            </w:r>
          </w:p>
          <w:p w14:paraId="62F65FC3" w14:textId="77777777" w:rsidR="00171CA9" w:rsidRDefault="00171CA9" w:rsidP="00171CA9">
            <w:pPr>
              <w:pStyle w:val="BulletListDense"/>
            </w:pPr>
            <w:r>
              <w:t xml:space="preserve">Process complaints as reported, allocating </w:t>
            </w:r>
            <w:proofErr w:type="gramStart"/>
            <w:r>
              <w:t>them</w:t>
            </w:r>
            <w:proofErr w:type="gramEnd"/>
            <w:r>
              <w:t xml:space="preserve"> and liaising with the investigator to ensure SLAs are met and appropriate actions have been taken to close these off.</w:t>
            </w:r>
          </w:p>
          <w:p w14:paraId="20C4AA5C" w14:textId="77777777" w:rsidR="00171CA9" w:rsidRDefault="00171CA9" w:rsidP="00171CA9">
            <w:pPr>
              <w:pStyle w:val="BulletListDense"/>
            </w:pPr>
            <w:r>
              <w:t>Ensure investigations and responses are appropriate, checked and sent out within SLA’s.</w:t>
            </w:r>
          </w:p>
          <w:p w14:paraId="33C86231" w14:textId="77777777" w:rsidR="00171CA9" w:rsidRDefault="00171CA9" w:rsidP="00171CA9">
            <w:pPr>
              <w:pStyle w:val="BulletListDense"/>
            </w:pPr>
            <w:r>
              <w:t>Ensure serious complaints are processed as reported, ensuring immediate actions/allocation in accordance with Radar permissions for investigation. This may involve telephone escalation.</w:t>
            </w:r>
          </w:p>
          <w:p w14:paraId="296BB251" w14:textId="77777777" w:rsidR="00171CA9" w:rsidRDefault="00171CA9" w:rsidP="00171CA9">
            <w:pPr>
              <w:pStyle w:val="BulletListDense"/>
            </w:pPr>
            <w:r>
              <w:t>In conjunction with Operational/Clinical teams, implement improvement plans with SMART objectives where compliance is not achieved, and follow through until compliance has been met to ensure loop closure.</w:t>
            </w:r>
          </w:p>
          <w:p w14:paraId="23A48FF7" w14:textId="77777777" w:rsidR="00171CA9" w:rsidRDefault="00171CA9" w:rsidP="00171CA9">
            <w:pPr>
              <w:pStyle w:val="BulletListDense"/>
            </w:pPr>
            <w:r>
              <w:t>Ensure lessons learned are captured and shared with designated people.</w:t>
            </w:r>
          </w:p>
          <w:p w14:paraId="7B33B598" w14:textId="77777777" w:rsidR="00171CA9" w:rsidRDefault="00171CA9" w:rsidP="00171CA9">
            <w:pPr>
              <w:pStyle w:val="BulletListDense"/>
            </w:pPr>
            <w:r>
              <w:t xml:space="preserve">Ensure complaints are escalated accordingly e.g., </w:t>
            </w:r>
            <w:proofErr w:type="gramStart"/>
            <w:r>
              <w:t>Ombudsman</w:t>
            </w:r>
            <w:proofErr w:type="gramEnd"/>
          </w:p>
          <w:p w14:paraId="09CA7146" w14:textId="77777777" w:rsidR="00171CA9" w:rsidRDefault="00171CA9" w:rsidP="00171CA9">
            <w:pPr>
              <w:pStyle w:val="BulletListDense"/>
            </w:pPr>
            <w:r>
              <w:t>Compiling reports, analysing, and presenting data.</w:t>
            </w:r>
          </w:p>
          <w:p w14:paraId="36683105" w14:textId="77777777" w:rsidR="00171CA9" w:rsidRDefault="00171CA9" w:rsidP="00171CA9">
            <w:pPr>
              <w:pStyle w:val="BulletListDense"/>
            </w:pPr>
            <w:r>
              <w:t>Supporting with training where required.</w:t>
            </w:r>
          </w:p>
          <w:p w14:paraId="562D5532" w14:textId="77777777" w:rsidR="00171CA9" w:rsidRPr="00090E80" w:rsidRDefault="00171CA9" w:rsidP="00171CA9">
            <w:pPr>
              <w:pStyle w:val="BulletListDense"/>
              <w:numPr>
                <w:ilvl w:val="0"/>
                <w:numId w:val="0"/>
              </w:numPr>
              <w:rPr>
                <w:b/>
                <w:bCs/>
              </w:rPr>
            </w:pPr>
            <w:r w:rsidRPr="00090E80">
              <w:rPr>
                <w:b/>
                <w:bCs/>
              </w:rPr>
              <w:t>Shared decision making/service user centred values</w:t>
            </w:r>
            <w:r>
              <w:rPr>
                <w:b/>
                <w:bCs/>
              </w:rPr>
              <w:t xml:space="preserve">/access to </w:t>
            </w:r>
            <w:proofErr w:type="gramStart"/>
            <w:r>
              <w:rPr>
                <w:b/>
                <w:bCs/>
              </w:rPr>
              <w:t>care</w:t>
            </w:r>
            <w:proofErr w:type="gramEnd"/>
          </w:p>
          <w:p w14:paraId="242A4AD7" w14:textId="77777777" w:rsidR="00171CA9" w:rsidRDefault="00171CA9" w:rsidP="00171CA9">
            <w:pPr>
              <w:pStyle w:val="BulletListDense"/>
            </w:pPr>
            <w:r>
              <w:t xml:space="preserve">Support processes that enhance service users’ shared decision making, involvement in care decisions, accessible processes </w:t>
            </w:r>
            <w:r>
              <w:lastRenderedPageBreak/>
              <w:t>ensuring the service users journey and experience of VHG are positive.</w:t>
            </w:r>
          </w:p>
          <w:p w14:paraId="0585CE42" w14:textId="77777777" w:rsidR="00171CA9" w:rsidRDefault="00171CA9" w:rsidP="00171CA9">
            <w:pPr>
              <w:pStyle w:val="BulletListDense"/>
            </w:pPr>
            <w:r>
              <w:t>Collaborate with key stakeholders to improve the service user and community voice (e.g., working with service user ambassadors)</w:t>
            </w:r>
          </w:p>
          <w:p w14:paraId="79467DA2" w14:textId="77777777" w:rsidR="00171CA9" w:rsidRDefault="00171CA9" w:rsidP="00171CA9">
            <w:pPr>
              <w:pStyle w:val="BulletListDense"/>
            </w:pPr>
            <w:r>
              <w:t>Increasing ways where service user engagement can mould future decisions/quality improvement.</w:t>
            </w:r>
          </w:p>
          <w:p w14:paraId="204EB0E1" w14:textId="77777777" w:rsidR="00171CA9" w:rsidRDefault="00171CA9" w:rsidP="00171CA9">
            <w:pPr>
              <w:pStyle w:val="BulletListDense"/>
              <w:numPr>
                <w:ilvl w:val="0"/>
                <w:numId w:val="0"/>
              </w:numPr>
              <w:ind w:left="360" w:hanging="360"/>
              <w:rPr>
                <w:b/>
                <w:bCs/>
              </w:rPr>
            </w:pPr>
            <w:r w:rsidRPr="00BF1249">
              <w:rPr>
                <w:b/>
                <w:bCs/>
              </w:rPr>
              <w:t>Feedback</w:t>
            </w:r>
          </w:p>
          <w:p w14:paraId="05E4797D" w14:textId="77777777" w:rsidR="00171CA9" w:rsidRDefault="00171CA9" w:rsidP="00171CA9">
            <w:pPr>
              <w:pStyle w:val="BulletListDense"/>
            </w:pPr>
            <w:r>
              <w:t>Extract, synthesise and distribute PSQ/F&amp;F and other service user and carer feedback data as applicable.</w:t>
            </w:r>
          </w:p>
          <w:p w14:paraId="29156A68" w14:textId="77777777" w:rsidR="00171CA9" w:rsidRDefault="00171CA9" w:rsidP="00171CA9">
            <w:pPr>
              <w:pStyle w:val="BulletListDense"/>
            </w:pPr>
            <w:r>
              <w:t xml:space="preserve">Obtain feedback externally from customers e.g., GP satisfaction </w:t>
            </w:r>
            <w:proofErr w:type="gramStart"/>
            <w:r>
              <w:t>surveys</w:t>
            </w:r>
            <w:proofErr w:type="gramEnd"/>
          </w:p>
          <w:p w14:paraId="359FE1E3" w14:textId="77777777" w:rsidR="00171CA9" w:rsidRPr="00BF1249" w:rsidRDefault="00171CA9" w:rsidP="00171CA9">
            <w:pPr>
              <w:pStyle w:val="BulletListDense"/>
            </w:pPr>
            <w:r>
              <w:t>Support new and innovative ways of obtaining feedback.</w:t>
            </w:r>
          </w:p>
          <w:p w14:paraId="51A98D97" w14:textId="77777777" w:rsidR="00171CA9" w:rsidRPr="007D07FC" w:rsidRDefault="00171CA9" w:rsidP="00171CA9">
            <w:pPr>
              <w:pStyle w:val="BulletListDense"/>
            </w:pPr>
            <w:r>
              <w:t>Produce monthly reports relevant to this domain for the Leadership team and wider business as required.</w:t>
            </w:r>
          </w:p>
          <w:p w14:paraId="70A9C8AC" w14:textId="77777777" w:rsidR="00171CA9" w:rsidRDefault="00171CA9" w:rsidP="00171CA9">
            <w:pPr>
              <w:pStyle w:val="BulletListDense"/>
            </w:pPr>
            <w:r>
              <w:t>Other ad hoc duties</w:t>
            </w:r>
          </w:p>
          <w:p w14:paraId="63F2248A" w14:textId="77777777" w:rsidR="00171CA9" w:rsidRDefault="00171CA9" w:rsidP="00171CA9">
            <w:pPr>
              <w:pStyle w:val="BulletListDense"/>
              <w:numPr>
                <w:ilvl w:val="0"/>
                <w:numId w:val="0"/>
              </w:numPr>
              <w:rPr>
                <w:b/>
                <w:bCs/>
              </w:rPr>
            </w:pPr>
          </w:p>
        </w:tc>
      </w:tr>
      <w:tr w:rsidR="001853B9" w14:paraId="3AE1D03C" w14:textId="77777777" w:rsidTr="00966F66">
        <w:tc>
          <w:tcPr>
            <w:tcW w:w="3256" w:type="dxa"/>
            <w:vAlign w:val="center"/>
          </w:tcPr>
          <w:p w14:paraId="1698DAFC" w14:textId="77777777" w:rsidR="001853B9" w:rsidRDefault="001853B9" w:rsidP="001853B9">
            <w:pPr>
              <w:spacing w:before="100" w:after="100"/>
            </w:pPr>
          </w:p>
        </w:tc>
        <w:tc>
          <w:tcPr>
            <w:tcW w:w="6706" w:type="dxa"/>
            <w:vAlign w:val="center"/>
          </w:tcPr>
          <w:p w14:paraId="3F992C65" w14:textId="77777777" w:rsidR="001853B9" w:rsidRDefault="001853B9" w:rsidP="001853B9">
            <w:pPr>
              <w:pStyle w:val="BulletListDense"/>
              <w:numPr>
                <w:ilvl w:val="0"/>
                <w:numId w:val="0"/>
              </w:numPr>
              <w:rPr>
                <w:b/>
                <w:bCs/>
              </w:rPr>
            </w:pPr>
            <w:r>
              <w:rPr>
                <w:b/>
                <w:bCs/>
              </w:rPr>
              <w:t>Safety &amp; Risk</w:t>
            </w:r>
          </w:p>
          <w:p w14:paraId="7248E6FF" w14:textId="77777777" w:rsidR="001853B9" w:rsidRDefault="001853B9" w:rsidP="001853B9">
            <w:pPr>
              <w:rPr>
                <w:rFonts w:cs="Calibri"/>
                <w:bCs/>
              </w:rPr>
            </w:pPr>
            <w:r>
              <w:rPr>
                <w:b/>
                <w:bCs/>
              </w:rPr>
              <w:t>Support the Safety &amp; Risk Lead and wider team to:</w:t>
            </w:r>
          </w:p>
          <w:p w14:paraId="71D2A956" w14:textId="77777777" w:rsidR="001853B9" w:rsidRDefault="001853B9" w:rsidP="001853B9">
            <w:pPr>
              <w:rPr>
                <w:rFonts w:cs="Calibri"/>
                <w:bCs/>
              </w:rPr>
            </w:pPr>
            <w:r>
              <w:rPr>
                <w:rFonts w:cs="Calibri"/>
                <w:bCs/>
              </w:rPr>
              <w:t xml:space="preserve">Scrutinise, monitor, review and report on safety and risk activities including protocols, procedures, statutory and regulatory compliance. These include but are not exclusive to: </w:t>
            </w:r>
          </w:p>
          <w:p w14:paraId="39B74D3E" w14:textId="77777777" w:rsidR="001853B9" w:rsidRDefault="001853B9" w:rsidP="001853B9">
            <w:pPr>
              <w:rPr>
                <w:rFonts w:cs="Calibri"/>
                <w:bCs/>
              </w:rPr>
            </w:pPr>
          </w:p>
          <w:p w14:paraId="481B06E2" w14:textId="77777777" w:rsidR="001853B9" w:rsidRDefault="001853B9" w:rsidP="001853B9">
            <w:pPr>
              <w:pStyle w:val="ListParagraph"/>
              <w:ind w:left="0"/>
              <w:jc w:val="both"/>
              <w:rPr>
                <w:rFonts w:cs="Calibri"/>
                <w:b/>
              </w:rPr>
            </w:pPr>
            <w:r>
              <w:rPr>
                <w:rFonts w:cs="Calibri"/>
                <w:b/>
              </w:rPr>
              <w:t>Incidents, serious incidents, significant events and near misses</w:t>
            </w:r>
          </w:p>
          <w:p w14:paraId="4FE3F141" w14:textId="77777777" w:rsidR="001853B9" w:rsidRDefault="001853B9" w:rsidP="001853B9">
            <w:pPr>
              <w:pStyle w:val="BulletListDense"/>
            </w:pPr>
            <w:r>
              <w:t xml:space="preserve">Process incidents as reported, allocating </w:t>
            </w:r>
            <w:proofErr w:type="gramStart"/>
            <w:r>
              <w:t>them</w:t>
            </w:r>
            <w:proofErr w:type="gramEnd"/>
            <w:r>
              <w:t xml:space="preserve"> and liaising with the investigator to ensure SLAs are met and appropriate actions have been taken to close these off.</w:t>
            </w:r>
          </w:p>
          <w:p w14:paraId="76AB2CB1" w14:textId="77777777" w:rsidR="001853B9" w:rsidRDefault="001853B9" w:rsidP="001853B9">
            <w:pPr>
              <w:pStyle w:val="BulletListDense"/>
            </w:pPr>
            <w:r>
              <w:t>Ensure investigations and responses are appropriate, checked and allocated within Radar within SLA’s.</w:t>
            </w:r>
          </w:p>
          <w:p w14:paraId="1FDE7997" w14:textId="77777777" w:rsidR="001853B9" w:rsidRDefault="001853B9" w:rsidP="001853B9">
            <w:pPr>
              <w:pStyle w:val="BulletListDense"/>
            </w:pPr>
            <w:r>
              <w:t>Process serious incidents as reported, ensuring immediate actions where appropriate and allocating them in accordance with Radar permissions for investigation. This may involve telephone escalation.</w:t>
            </w:r>
          </w:p>
          <w:p w14:paraId="34EB4FED" w14:textId="77777777" w:rsidR="001853B9" w:rsidRDefault="001853B9" w:rsidP="001853B9">
            <w:pPr>
              <w:pStyle w:val="BulletListDense"/>
            </w:pPr>
            <w:r>
              <w:t>Ensure Critical Incident Reports/Non-Conformances are investigated, and actions are checked and completed within SLA’s.</w:t>
            </w:r>
          </w:p>
          <w:p w14:paraId="4266082C" w14:textId="77777777" w:rsidR="001853B9" w:rsidRDefault="001853B9" w:rsidP="001853B9">
            <w:pPr>
              <w:pStyle w:val="BulletListDense"/>
            </w:pPr>
            <w:r>
              <w:t>In conjunction with Operational/Clinical teams, implement improvement plans with SMART objectives where compliance is not achieved and follow through until compliance has been met to ensure loop closure.</w:t>
            </w:r>
          </w:p>
          <w:p w14:paraId="5F5447FD" w14:textId="77777777" w:rsidR="001853B9" w:rsidRDefault="001853B9" w:rsidP="001853B9">
            <w:pPr>
              <w:pStyle w:val="BulletListDense"/>
            </w:pPr>
            <w:r>
              <w:t>Ensure lessons learned are captured and shared with designated individuals.</w:t>
            </w:r>
          </w:p>
          <w:p w14:paraId="3F5AA41B" w14:textId="77777777" w:rsidR="001853B9" w:rsidRDefault="001853B9" w:rsidP="001853B9">
            <w:pPr>
              <w:pStyle w:val="BulletListDense"/>
            </w:pPr>
            <w:r>
              <w:t>Support PSIRF/LFPSE national requirements working with key stakeholders to create specific documents and processes as directed.</w:t>
            </w:r>
          </w:p>
          <w:p w14:paraId="13566891" w14:textId="77777777" w:rsidR="001853B9" w:rsidRDefault="001853B9" w:rsidP="001853B9">
            <w:pPr>
              <w:pStyle w:val="BulletListDense"/>
            </w:pPr>
            <w:r>
              <w:t>Monitor Duty of Candour/coroners events/hearings ensuring appropriate documentation is accessible and recorded.</w:t>
            </w:r>
          </w:p>
          <w:p w14:paraId="74F64476" w14:textId="77777777" w:rsidR="001853B9" w:rsidRDefault="001853B9" w:rsidP="001853B9">
            <w:pPr>
              <w:pStyle w:val="BulletListDense"/>
            </w:pPr>
            <w:r>
              <w:lastRenderedPageBreak/>
              <w:t>Support the population of RCA’s/Deep dives as directed by the Lead and wider team.</w:t>
            </w:r>
          </w:p>
          <w:p w14:paraId="26AD4F24" w14:textId="77777777" w:rsidR="001853B9" w:rsidRDefault="001853B9" w:rsidP="001853B9">
            <w:pPr>
              <w:pStyle w:val="BulletListDense"/>
            </w:pPr>
            <w:r>
              <w:t xml:space="preserve">Support the lead ensuring the RCA action log is completed and concerns are closed off within designated timeframe. </w:t>
            </w:r>
          </w:p>
          <w:p w14:paraId="61C1DDAF" w14:textId="77777777" w:rsidR="001853B9" w:rsidRDefault="001853B9" w:rsidP="001853B9">
            <w:pPr>
              <w:pStyle w:val="BulletListDense"/>
              <w:numPr>
                <w:ilvl w:val="0"/>
                <w:numId w:val="0"/>
              </w:numPr>
              <w:rPr>
                <w:b/>
                <w:bCs/>
              </w:rPr>
            </w:pPr>
            <w:r>
              <w:rPr>
                <w:b/>
                <w:bCs/>
              </w:rPr>
              <w:t>Safety Alerts</w:t>
            </w:r>
          </w:p>
          <w:p w14:paraId="656278F5" w14:textId="77777777" w:rsidR="001853B9" w:rsidRPr="00555C11" w:rsidRDefault="001853B9" w:rsidP="001853B9">
            <w:pPr>
              <w:pStyle w:val="BulletListDense"/>
            </w:pPr>
            <w:r>
              <w:t>Support the lead to ensure appropriate safety alerts are disseminated and actioned accordingly. Ensure Safety Alerts log is up to date and legible.</w:t>
            </w:r>
          </w:p>
          <w:p w14:paraId="0DC74EE9" w14:textId="77777777" w:rsidR="001853B9" w:rsidRDefault="001853B9" w:rsidP="001853B9">
            <w:pPr>
              <w:pStyle w:val="BulletListDense"/>
              <w:numPr>
                <w:ilvl w:val="0"/>
                <w:numId w:val="0"/>
              </w:numPr>
              <w:rPr>
                <w:b/>
                <w:bCs/>
              </w:rPr>
            </w:pPr>
            <w:r w:rsidRPr="008A3664">
              <w:rPr>
                <w:b/>
                <w:bCs/>
              </w:rPr>
              <w:t>Business Continuity Plans</w:t>
            </w:r>
          </w:p>
          <w:p w14:paraId="322AF672" w14:textId="77777777" w:rsidR="001853B9" w:rsidRPr="002B5840" w:rsidRDefault="001853B9" w:rsidP="001853B9">
            <w:pPr>
              <w:pStyle w:val="BulletListDense"/>
            </w:pPr>
            <w:r>
              <w:t>Support the lead to ensure BCP’s are in place, audited, and tested according to schedule.</w:t>
            </w:r>
          </w:p>
          <w:p w14:paraId="353D36ED" w14:textId="77777777" w:rsidR="001853B9" w:rsidRDefault="001853B9" w:rsidP="001853B9">
            <w:pPr>
              <w:pStyle w:val="BulletListDense"/>
              <w:numPr>
                <w:ilvl w:val="0"/>
                <w:numId w:val="0"/>
              </w:numPr>
              <w:rPr>
                <w:b/>
                <w:bCs/>
              </w:rPr>
            </w:pPr>
            <w:r>
              <w:rPr>
                <w:b/>
                <w:bCs/>
              </w:rPr>
              <w:t>Litigation</w:t>
            </w:r>
          </w:p>
          <w:p w14:paraId="0870EED4" w14:textId="77777777" w:rsidR="001853B9" w:rsidRDefault="001853B9" w:rsidP="001853B9">
            <w:pPr>
              <w:pStyle w:val="BulletListDense"/>
            </w:pPr>
            <w:r>
              <w:t>Support nominated people in the effective management of litigation claims and notifications of potential claims including storing documentation and offering/delegating administrative support.</w:t>
            </w:r>
          </w:p>
          <w:p w14:paraId="6F86EE7D" w14:textId="77777777" w:rsidR="001853B9" w:rsidRPr="003033D4" w:rsidRDefault="001853B9" w:rsidP="001853B9">
            <w:pPr>
              <w:pStyle w:val="BulletListDense"/>
              <w:numPr>
                <w:ilvl w:val="0"/>
                <w:numId w:val="0"/>
              </w:numPr>
              <w:rPr>
                <w:b/>
                <w:bCs/>
              </w:rPr>
            </w:pPr>
            <w:r w:rsidRPr="003033D4">
              <w:rPr>
                <w:b/>
                <w:bCs/>
              </w:rPr>
              <w:t>Risk Registers</w:t>
            </w:r>
          </w:p>
          <w:p w14:paraId="26782972" w14:textId="77777777" w:rsidR="001853B9" w:rsidRDefault="001853B9" w:rsidP="001853B9">
            <w:pPr>
              <w:pStyle w:val="BulletListDense"/>
            </w:pPr>
            <w:r>
              <w:t>Assist in the population of the Governance risk register and carry out audit/snap-checks in other services.</w:t>
            </w:r>
          </w:p>
          <w:p w14:paraId="6ADAD3F3" w14:textId="77777777" w:rsidR="001853B9" w:rsidRPr="00454CE4" w:rsidRDefault="001853B9" w:rsidP="001853B9">
            <w:pPr>
              <w:pStyle w:val="BulletListDense"/>
              <w:numPr>
                <w:ilvl w:val="0"/>
                <w:numId w:val="0"/>
              </w:numPr>
              <w:ind w:left="360" w:hanging="360"/>
              <w:rPr>
                <w:b/>
                <w:bCs/>
              </w:rPr>
            </w:pPr>
            <w:r w:rsidRPr="00454CE4">
              <w:rPr>
                <w:b/>
                <w:bCs/>
              </w:rPr>
              <w:t>Medicines Management</w:t>
            </w:r>
          </w:p>
          <w:p w14:paraId="680213CD" w14:textId="77777777" w:rsidR="001853B9" w:rsidRDefault="001853B9" w:rsidP="001853B9">
            <w:pPr>
              <w:pStyle w:val="BulletListDense"/>
            </w:pPr>
            <w:r>
              <w:t>Support the clinical team to ensure medicines management and other related compliance and audit checks are completed and compliant.</w:t>
            </w:r>
          </w:p>
          <w:p w14:paraId="32BE897F" w14:textId="77777777" w:rsidR="001853B9" w:rsidRPr="00C30DFE" w:rsidRDefault="001853B9" w:rsidP="001853B9">
            <w:pPr>
              <w:pStyle w:val="BulletListDense"/>
              <w:numPr>
                <w:ilvl w:val="0"/>
                <w:numId w:val="0"/>
              </w:numPr>
              <w:ind w:left="360" w:hanging="360"/>
              <w:rPr>
                <w:b/>
                <w:bCs/>
              </w:rPr>
            </w:pPr>
            <w:r w:rsidRPr="00C30DFE">
              <w:rPr>
                <w:b/>
                <w:bCs/>
              </w:rPr>
              <w:t>Infection Prevention &amp; Control</w:t>
            </w:r>
          </w:p>
          <w:p w14:paraId="52ADA7CD" w14:textId="77777777" w:rsidR="001853B9" w:rsidRDefault="001853B9" w:rsidP="001853B9">
            <w:pPr>
              <w:pStyle w:val="BulletListDense"/>
            </w:pPr>
            <w:r>
              <w:t xml:space="preserve">Support the IPC </w:t>
            </w:r>
            <w:proofErr w:type="gramStart"/>
            <w:r>
              <w:t>Lead</w:t>
            </w:r>
            <w:proofErr w:type="gramEnd"/>
            <w:r>
              <w:t xml:space="preserve"> to meet IPC objectives, regulatory and statutory compliance and the annual IPC plan</w:t>
            </w:r>
          </w:p>
          <w:p w14:paraId="6B0B3511" w14:textId="77777777" w:rsidR="001853B9" w:rsidRDefault="001853B9" w:rsidP="001853B9">
            <w:pPr>
              <w:pStyle w:val="BulletListDense"/>
            </w:pPr>
            <w:r>
              <w:t>Other ad hoc duties</w:t>
            </w:r>
          </w:p>
          <w:p w14:paraId="27FFC5F6" w14:textId="77777777" w:rsidR="001853B9" w:rsidRPr="00C80E5F" w:rsidRDefault="001853B9" w:rsidP="001853B9">
            <w:pPr>
              <w:pStyle w:val="BulletListDense"/>
              <w:numPr>
                <w:ilvl w:val="0"/>
                <w:numId w:val="0"/>
              </w:numPr>
              <w:rPr>
                <w:b/>
                <w:bCs/>
              </w:rPr>
            </w:pPr>
            <w:r w:rsidRPr="00C80E5F">
              <w:rPr>
                <w:b/>
                <w:bCs/>
              </w:rPr>
              <w:t>Reports/documentation</w:t>
            </w:r>
          </w:p>
          <w:p w14:paraId="0115C2E1" w14:textId="1A5A40B7" w:rsidR="001853B9" w:rsidRDefault="001853B9" w:rsidP="001853B9">
            <w:pPr>
              <w:pStyle w:val="BulletListDense"/>
              <w:numPr>
                <w:ilvl w:val="0"/>
                <w:numId w:val="0"/>
              </w:numPr>
              <w:rPr>
                <w:b/>
                <w:bCs/>
              </w:rPr>
            </w:pPr>
            <w:r>
              <w:t>Produce monthly reports relevant to this domain for the Leadership team and wider business as required.</w:t>
            </w:r>
          </w:p>
        </w:tc>
      </w:tr>
      <w:tr w:rsidR="001853B9" w14:paraId="2B47D6D0" w14:textId="77777777" w:rsidTr="00966F66">
        <w:tc>
          <w:tcPr>
            <w:tcW w:w="3256" w:type="dxa"/>
            <w:vAlign w:val="center"/>
          </w:tcPr>
          <w:p w14:paraId="0CC0476B" w14:textId="77777777" w:rsidR="001853B9" w:rsidRDefault="001853B9" w:rsidP="001853B9">
            <w:pPr>
              <w:spacing w:before="100" w:after="100"/>
            </w:pPr>
          </w:p>
        </w:tc>
        <w:tc>
          <w:tcPr>
            <w:tcW w:w="6706" w:type="dxa"/>
            <w:vAlign w:val="center"/>
          </w:tcPr>
          <w:p w14:paraId="7D9DEBD5" w14:textId="77777777" w:rsidR="000B3659" w:rsidRPr="00B550CC" w:rsidRDefault="000B3659" w:rsidP="000B3659">
            <w:pPr>
              <w:pStyle w:val="BulletListDense"/>
              <w:numPr>
                <w:ilvl w:val="0"/>
                <w:numId w:val="0"/>
              </w:numPr>
              <w:rPr>
                <w:b/>
                <w:bCs/>
              </w:rPr>
            </w:pPr>
            <w:r w:rsidRPr="00B550CC">
              <w:rPr>
                <w:b/>
                <w:bCs/>
              </w:rPr>
              <w:t>Quality &amp; Compliance</w:t>
            </w:r>
            <w:r w:rsidRPr="00B550CC">
              <w:rPr>
                <w:b/>
                <w:bCs/>
              </w:rPr>
              <w:br/>
            </w:r>
            <w:r>
              <w:rPr>
                <w:b/>
                <w:bCs/>
              </w:rPr>
              <w:t>Support the Quality &amp; Compliance Lead and wider team to:</w:t>
            </w:r>
          </w:p>
          <w:p w14:paraId="2E6D5047" w14:textId="77777777" w:rsidR="000B3659" w:rsidRDefault="000B3659" w:rsidP="000B3659">
            <w:pPr>
              <w:rPr>
                <w:rFonts w:cs="Calibri"/>
                <w:bCs/>
              </w:rPr>
            </w:pPr>
            <w:r>
              <w:rPr>
                <w:rFonts w:cs="Calibri"/>
                <w:bCs/>
              </w:rPr>
              <w:t xml:space="preserve">Scrutinise, monitor, review and report on quality and compliance activities including protocols, procedures, statutory and regulatory compliance. These include but are not exclusive to: </w:t>
            </w:r>
            <w:r>
              <w:rPr>
                <w:rFonts w:cs="Calibri"/>
                <w:bCs/>
              </w:rPr>
              <w:br/>
            </w:r>
          </w:p>
          <w:p w14:paraId="32AD7E0C" w14:textId="77777777" w:rsidR="000B3659" w:rsidRPr="004E7224" w:rsidRDefault="000B3659" w:rsidP="000B3659">
            <w:pPr>
              <w:rPr>
                <w:rFonts w:cs="Calibri"/>
                <w:b/>
              </w:rPr>
            </w:pPr>
            <w:r w:rsidRPr="004E7224">
              <w:rPr>
                <w:rFonts w:cs="Calibri"/>
                <w:b/>
              </w:rPr>
              <w:t>Document</w:t>
            </w:r>
            <w:r>
              <w:rPr>
                <w:rFonts w:cs="Calibri"/>
                <w:b/>
              </w:rPr>
              <w:t>ation/reports</w:t>
            </w:r>
          </w:p>
          <w:p w14:paraId="44C96C6C" w14:textId="77777777" w:rsidR="000B3659" w:rsidRDefault="000B3659" w:rsidP="000B3659">
            <w:pPr>
              <w:pStyle w:val="BulletListDense"/>
            </w:pPr>
            <w:r>
              <w:t xml:space="preserve">Document control including management of the register. </w:t>
            </w:r>
          </w:p>
          <w:p w14:paraId="7E5151CF" w14:textId="69E6F03D" w:rsidR="000B3659" w:rsidRDefault="000B3659" w:rsidP="000B3659">
            <w:pPr>
              <w:pStyle w:val="BulletListDense"/>
            </w:pPr>
            <w:r>
              <w:t xml:space="preserve">Completion of quality reports for internal meetings (e.g., QGG data) and external customers, presenting these as </w:t>
            </w:r>
            <w:proofErr w:type="gramStart"/>
            <w:r>
              <w:t>required</w:t>
            </w:r>
            <w:proofErr w:type="gramEnd"/>
          </w:p>
          <w:p w14:paraId="10BC6598" w14:textId="77777777" w:rsidR="000B3659" w:rsidRDefault="000B3659" w:rsidP="000B3659">
            <w:pPr>
              <w:pStyle w:val="BulletListDense"/>
            </w:pPr>
            <w:r>
              <w:t>Produce monthly reports relevant to this domain for the Leadership team and wider business as required.</w:t>
            </w:r>
          </w:p>
          <w:p w14:paraId="26922135" w14:textId="77777777" w:rsidR="000B3659" w:rsidRPr="0016739B" w:rsidRDefault="000B3659" w:rsidP="000B3659">
            <w:pPr>
              <w:pStyle w:val="BulletListDense"/>
            </w:pPr>
            <w:r>
              <w:t>Support the team for all quality assurance/quality improvement tasks on a rolling basis.</w:t>
            </w:r>
          </w:p>
          <w:p w14:paraId="4F10AF71" w14:textId="6207A486" w:rsidR="000B3659" w:rsidRDefault="000B3659" w:rsidP="000B3659">
            <w:pPr>
              <w:pStyle w:val="BulletListDense"/>
            </w:pPr>
            <w:r>
              <w:lastRenderedPageBreak/>
              <w:t>Support the Leads and wider team with preparation/reports for key meetings (e.g., QGG monthly). This will include assisting with agenda items, actions and ensuring minutes are taken.</w:t>
            </w:r>
          </w:p>
          <w:p w14:paraId="4E275CF0" w14:textId="77777777" w:rsidR="000B3659" w:rsidRPr="004E7224" w:rsidRDefault="000B3659" w:rsidP="000B3659">
            <w:pPr>
              <w:pStyle w:val="BulletListDense"/>
            </w:pPr>
            <w:r>
              <w:t>Feed into any VHG groups who require compliance information/ support as agreed by the Lead.</w:t>
            </w:r>
          </w:p>
          <w:p w14:paraId="572549B0" w14:textId="77777777" w:rsidR="000B3659" w:rsidRPr="0016739B" w:rsidRDefault="000B3659" w:rsidP="000B3659">
            <w:pPr>
              <w:pStyle w:val="BulletListDense"/>
            </w:pPr>
            <w:r>
              <w:t>Support the gathering/collation of the annual NHS Quality Account</w:t>
            </w:r>
          </w:p>
          <w:p w14:paraId="4C88D15C" w14:textId="77777777" w:rsidR="000B3659" w:rsidRDefault="000B3659" w:rsidP="000B3659">
            <w:pPr>
              <w:jc w:val="both"/>
              <w:rPr>
                <w:rFonts w:cs="Calibri"/>
                <w:b/>
              </w:rPr>
            </w:pPr>
            <w:r>
              <w:rPr>
                <w:rFonts w:cs="Calibri"/>
                <w:b/>
              </w:rPr>
              <w:t>Clinical and non-clinical audit</w:t>
            </w:r>
          </w:p>
          <w:p w14:paraId="37D489E5" w14:textId="77777777" w:rsidR="000B3659" w:rsidRPr="002A1244" w:rsidRDefault="000B3659" w:rsidP="000B3659">
            <w:pPr>
              <w:pStyle w:val="BulletListDense"/>
              <w:spacing w:line="276" w:lineRule="auto"/>
            </w:pPr>
            <w:r>
              <w:t xml:space="preserve">Ensure recording and reporting on compliance of all clinical and non-clinical audits across the business.  Clinical relates to all clinical environments for MSK, Dermatology and MH and any other clinical portfolio that VHG may expand into.  </w:t>
            </w:r>
          </w:p>
          <w:p w14:paraId="6FBAD700" w14:textId="77777777" w:rsidR="000B3659" w:rsidRDefault="000B3659" w:rsidP="000B3659">
            <w:pPr>
              <w:pStyle w:val="BulletListDense"/>
            </w:pPr>
            <w:r>
              <w:t>Workforce compliance, working in collaboration with HR and L&amp;D to ensure mandatory training, DBS and professional body checks are completed.</w:t>
            </w:r>
          </w:p>
          <w:p w14:paraId="6DD71FC5" w14:textId="77777777" w:rsidR="000B3659" w:rsidRPr="00202504" w:rsidRDefault="000B3659" w:rsidP="000B3659">
            <w:pPr>
              <w:pStyle w:val="BulletListDense"/>
            </w:pPr>
            <w:r>
              <w:t xml:space="preserve">Ensure </w:t>
            </w:r>
            <w:r w:rsidRPr="00202504">
              <w:t>manag</w:t>
            </w:r>
            <w:r>
              <w:t>ement of</w:t>
            </w:r>
            <w:r w:rsidRPr="00202504">
              <w:t xml:space="preserve"> the central </w:t>
            </w:r>
            <w:r>
              <w:t xml:space="preserve">audit </w:t>
            </w:r>
            <w:r w:rsidRPr="00202504">
              <w:t>schedule and register</w:t>
            </w:r>
          </w:p>
          <w:p w14:paraId="70EAC3AC" w14:textId="77777777" w:rsidR="000B3659" w:rsidRDefault="000B3659" w:rsidP="000B3659">
            <w:pPr>
              <w:pStyle w:val="BulletListDense"/>
              <w:rPr>
                <w:bCs/>
              </w:rPr>
            </w:pPr>
            <w:r>
              <w:rPr>
                <w:bCs/>
              </w:rPr>
              <w:t>In conjunction with Service Leads/Line Managers/Clinical Leads ensure improvement plans with SMART objectives are completed and logged within agreed timeframes. Escalate concerns where compliance is not achieved and follow this through for loop closure and shared learning. Add to risk registers as applicable.</w:t>
            </w:r>
          </w:p>
          <w:p w14:paraId="7961881B" w14:textId="77777777" w:rsidR="000B3659" w:rsidRDefault="000B3659" w:rsidP="000B3659">
            <w:pPr>
              <w:pStyle w:val="BulletListDense"/>
            </w:pPr>
            <w:r>
              <w:t>Other ad hoc duties</w:t>
            </w:r>
          </w:p>
          <w:p w14:paraId="2DAF5FEE" w14:textId="77777777" w:rsidR="000B3659" w:rsidRDefault="000B3659" w:rsidP="000B3659">
            <w:pPr>
              <w:spacing w:after="60" w:line="276" w:lineRule="auto"/>
              <w:rPr>
                <w:rFonts w:cs="Times New Roman"/>
                <w:szCs w:val="23"/>
              </w:rPr>
            </w:pPr>
            <w:r>
              <w:rPr>
                <w:rFonts w:cs="Times New Roman"/>
                <w:szCs w:val="23"/>
              </w:rPr>
              <w:t>Accreditations/Certifications</w:t>
            </w:r>
          </w:p>
          <w:p w14:paraId="3C000B7F" w14:textId="77777777" w:rsidR="000B3659" w:rsidRDefault="000B3659" w:rsidP="000B3659">
            <w:pPr>
              <w:numPr>
                <w:ilvl w:val="0"/>
                <w:numId w:val="7"/>
              </w:numPr>
              <w:spacing w:after="60" w:line="276" w:lineRule="auto"/>
              <w:rPr>
                <w:rFonts w:cs="Times New Roman"/>
                <w:szCs w:val="23"/>
              </w:rPr>
            </w:pPr>
            <w:r w:rsidRPr="00C81BF9">
              <w:rPr>
                <w:rFonts w:cs="Times New Roman"/>
                <w:szCs w:val="23"/>
              </w:rPr>
              <w:t>Support</w:t>
            </w:r>
            <w:r>
              <w:rPr>
                <w:rFonts w:cs="Times New Roman"/>
                <w:szCs w:val="23"/>
              </w:rPr>
              <w:t xml:space="preserve"> key stakeholders</w:t>
            </w:r>
            <w:r w:rsidRPr="00C81BF9">
              <w:rPr>
                <w:rFonts w:cs="Times New Roman"/>
                <w:szCs w:val="23"/>
              </w:rPr>
              <w:t xml:space="preserve"> and </w:t>
            </w:r>
            <w:r>
              <w:rPr>
                <w:rFonts w:cs="Times New Roman"/>
                <w:szCs w:val="23"/>
              </w:rPr>
              <w:t xml:space="preserve">the </w:t>
            </w:r>
            <w:r w:rsidRPr="00C81BF9">
              <w:rPr>
                <w:rFonts w:cs="Times New Roman"/>
                <w:szCs w:val="23"/>
              </w:rPr>
              <w:t xml:space="preserve">wider </w:t>
            </w:r>
            <w:r>
              <w:rPr>
                <w:rFonts w:cs="Times New Roman"/>
                <w:szCs w:val="23"/>
              </w:rPr>
              <w:t>t</w:t>
            </w:r>
            <w:r w:rsidRPr="00C81BF9">
              <w:rPr>
                <w:rFonts w:cs="Times New Roman"/>
                <w:szCs w:val="23"/>
              </w:rPr>
              <w:t>eam in maintaining accreditations e.g.</w:t>
            </w:r>
            <w:r w:rsidRPr="00C81BF9">
              <w:t>,</w:t>
            </w:r>
            <w:r w:rsidRPr="00C81BF9">
              <w:rPr>
                <w:rFonts w:cs="Times New Roman"/>
                <w:szCs w:val="23"/>
              </w:rPr>
              <w:t xml:space="preserve"> ISO 9001 Quality Management System</w:t>
            </w:r>
            <w:r>
              <w:rPr>
                <w:rFonts w:cs="Times New Roman"/>
                <w:szCs w:val="23"/>
              </w:rPr>
              <w:t xml:space="preserve">/ISO 27001/CQC compliance/business </w:t>
            </w:r>
            <w:proofErr w:type="gramStart"/>
            <w:r>
              <w:rPr>
                <w:rFonts w:cs="Times New Roman"/>
                <w:szCs w:val="23"/>
              </w:rPr>
              <w:t>compliance</w:t>
            </w:r>
            <w:proofErr w:type="gramEnd"/>
          </w:p>
          <w:p w14:paraId="03748A60" w14:textId="77777777" w:rsidR="009D5858" w:rsidRPr="009D5858" w:rsidRDefault="009D5858" w:rsidP="009D5858">
            <w:pPr>
              <w:spacing w:before="100" w:after="100" w:line="240" w:lineRule="auto"/>
              <w:rPr>
                <w:rFonts w:eastAsia="Times New Roman" w:cs="Calibri"/>
                <w:kern w:val="0"/>
                <w:szCs w:val="22"/>
                <w:lang w:eastAsia="en-GB"/>
              </w:rPr>
            </w:pPr>
            <w:r w:rsidRPr="009D5858">
              <w:rPr>
                <w:rFonts w:eastAsia="Times New Roman" w:cs="Calibri"/>
                <w:b/>
                <w:bCs/>
                <w:kern w:val="0"/>
                <w:szCs w:val="22"/>
                <w:lang w:eastAsia="en-GB"/>
              </w:rPr>
              <w:t>Equality Diversity &amp; Inclusion (EDI)</w:t>
            </w:r>
          </w:p>
          <w:p w14:paraId="28ED43D1" w14:textId="77777777" w:rsidR="009D5858" w:rsidRPr="009D5858" w:rsidRDefault="009D5858" w:rsidP="009D5858">
            <w:pPr>
              <w:spacing w:before="100" w:after="100"/>
              <w:ind w:left="360"/>
              <w:rPr>
                <w:rFonts w:eastAsia="Times New Roman" w:cs="Calibri"/>
                <w:kern w:val="0"/>
                <w:szCs w:val="22"/>
                <w:lang w:eastAsia="en-GB"/>
              </w:rPr>
            </w:pPr>
            <w:r w:rsidRPr="009D5858">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14F7295" w14:textId="77777777" w:rsidR="009D5858" w:rsidRPr="009D5858" w:rsidRDefault="009D5858" w:rsidP="009D5858">
            <w:pPr>
              <w:spacing w:before="100" w:after="100"/>
              <w:ind w:left="540"/>
              <w:rPr>
                <w:rFonts w:eastAsia="Times New Roman" w:cs="Calibri"/>
                <w:kern w:val="0"/>
                <w:sz w:val="24"/>
                <w:lang w:eastAsia="en-GB"/>
              </w:rPr>
            </w:pPr>
            <w:r w:rsidRPr="009D5858">
              <w:rPr>
                <w:rFonts w:eastAsia="Times New Roman" w:cs="Calibri"/>
                <w:kern w:val="0"/>
                <w:sz w:val="24"/>
                <w:lang w:eastAsia="en-GB"/>
              </w:rPr>
              <w:t> </w:t>
            </w:r>
          </w:p>
          <w:p w14:paraId="4FEB86CF" w14:textId="77777777" w:rsidR="009D5858" w:rsidRPr="009D5858" w:rsidRDefault="009D5858" w:rsidP="009D5858">
            <w:pPr>
              <w:pStyle w:val="BulletListDense"/>
              <w:rPr>
                <w:lang w:eastAsia="en-GB"/>
              </w:rPr>
            </w:pPr>
            <w:r w:rsidRPr="009D5858">
              <w:rPr>
                <w:lang w:eastAsia="en-GB"/>
              </w:rPr>
              <w:t>Be aware of the impact of your behaviour on others.</w:t>
            </w:r>
          </w:p>
          <w:p w14:paraId="199F9462" w14:textId="77777777" w:rsidR="009D5858" w:rsidRPr="009D5858" w:rsidRDefault="009D5858" w:rsidP="009D5858">
            <w:pPr>
              <w:pStyle w:val="BulletListDense"/>
              <w:rPr>
                <w:lang w:eastAsia="en-GB"/>
              </w:rPr>
            </w:pPr>
            <w:r w:rsidRPr="009D5858">
              <w:rPr>
                <w:lang w:eastAsia="en-GB"/>
              </w:rPr>
              <w:t>Ensure that others are treated with fairness, dignity, and respect.</w:t>
            </w:r>
          </w:p>
          <w:p w14:paraId="1A0C3DA2" w14:textId="77777777" w:rsidR="009D5858" w:rsidRPr="009D5858" w:rsidRDefault="009D5858" w:rsidP="009D5858">
            <w:pPr>
              <w:pStyle w:val="BulletListDense"/>
              <w:rPr>
                <w:lang w:eastAsia="en-GB"/>
              </w:rPr>
            </w:pPr>
            <w:r w:rsidRPr="009D5858">
              <w:rPr>
                <w:lang w:eastAsia="en-GB"/>
              </w:rPr>
              <w:t>Maintain and develop your knowledge about what EDI is and why it is important.</w:t>
            </w:r>
          </w:p>
          <w:p w14:paraId="62A53502" w14:textId="77777777" w:rsidR="009D5858" w:rsidRPr="009D5858" w:rsidRDefault="009D5858" w:rsidP="009D5858">
            <w:pPr>
              <w:pStyle w:val="BulletListDense"/>
              <w:rPr>
                <w:lang w:eastAsia="en-GB"/>
              </w:rPr>
            </w:pPr>
            <w:r w:rsidRPr="009D5858">
              <w:rPr>
                <w:lang w:eastAsia="en-GB"/>
              </w:rPr>
              <w:t>Be prepared to challenge bias, discrimination, and prejudice when possible, and raise with your manager, the EDI &amp; Sustainability team, or the Freedom to Speak Up Guardians.</w:t>
            </w:r>
          </w:p>
          <w:p w14:paraId="76EF80AA" w14:textId="77777777" w:rsidR="009D5858" w:rsidRPr="009D5858" w:rsidRDefault="009D5858" w:rsidP="009D5858">
            <w:pPr>
              <w:pStyle w:val="BulletListDense"/>
              <w:rPr>
                <w:lang w:eastAsia="en-GB"/>
              </w:rPr>
            </w:pPr>
            <w:r w:rsidRPr="009D5858">
              <w:rPr>
                <w:lang w:eastAsia="en-GB"/>
              </w:rPr>
              <w:t>Encourage and support others to feel confident in speaking up if they have been subjected to or witnessed bias, discrimination, or prejudice.</w:t>
            </w:r>
          </w:p>
          <w:p w14:paraId="5D27EC06" w14:textId="77777777" w:rsidR="009D5858" w:rsidRPr="009D5858" w:rsidRDefault="009D5858" w:rsidP="009D5858">
            <w:pPr>
              <w:pStyle w:val="BulletListDense"/>
              <w:rPr>
                <w:lang w:eastAsia="en-GB"/>
              </w:rPr>
            </w:pPr>
            <w:r w:rsidRPr="009D5858">
              <w:rPr>
                <w:lang w:eastAsia="en-GB"/>
              </w:rPr>
              <w:lastRenderedPageBreak/>
              <w:t>Be prepared to speak up for others if you witness bias, discrimination, or prejudice.</w:t>
            </w:r>
          </w:p>
          <w:p w14:paraId="1AE23BD1" w14:textId="77777777" w:rsidR="009D5858" w:rsidRPr="00C81BF9" w:rsidRDefault="009D5858" w:rsidP="009D5858">
            <w:pPr>
              <w:pStyle w:val="BulletListDense"/>
              <w:rPr>
                <w:rFonts w:cs="Times New Roman"/>
                <w:szCs w:val="23"/>
              </w:rPr>
            </w:pPr>
          </w:p>
          <w:p w14:paraId="478097AE" w14:textId="77777777" w:rsidR="001853B9" w:rsidRDefault="001853B9" w:rsidP="001853B9">
            <w:pPr>
              <w:pStyle w:val="BulletListDense"/>
              <w:numPr>
                <w:ilvl w:val="0"/>
                <w:numId w:val="0"/>
              </w:numPr>
              <w:rPr>
                <w:b/>
                <w:bCs/>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249563A3" w14:textId="4BC58CA2" w:rsidR="00966F66" w:rsidRPr="009F68CA" w:rsidRDefault="00966F66" w:rsidP="00B70651">
            <w:pPr>
              <w:pStyle w:val="ListParagraph"/>
              <w:spacing w:beforeLines="100" w:before="240" w:afterLines="100" w:after="24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FD1B493" w14:textId="306395E1" w:rsidR="009D6545" w:rsidRPr="009D6545" w:rsidRDefault="001F49AE" w:rsidP="004F493B">
            <w:pPr>
              <w:pStyle w:val="BulletListDense"/>
              <w:rPr>
                <w:rFonts w:cs="Calibri"/>
                <w:szCs w:val="22"/>
              </w:rPr>
            </w:pPr>
            <w:r>
              <w:t xml:space="preserve">At least </w:t>
            </w:r>
            <w:r w:rsidR="00985CAA">
              <w:t>one</w:t>
            </w:r>
            <w:r w:rsidR="009D6545">
              <w:t xml:space="preserve"> year</w:t>
            </w:r>
            <w:r w:rsidR="00985CAA">
              <w:t>’s</w:t>
            </w:r>
            <w:r w:rsidR="009D6545">
              <w:t xml:space="preserve"> experience in a comp</w:t>
            </w:r>
            <w:r>
              <w:t>liance</w:t>
            </w:r>
            <w:r w:rsidR="009D6545">
              <w:t xml:space="preserve"> role</w:t>
            </w:r>
            <w:r>
              <w:t xml:space="preserve"> relevant to the four domains</w:t>
            </w:r>
            <w:r w:rsidR="00AB54C4">
              <w:t xml:space="preserve"> </w:t>
            </w:r>
          </w:p>
          <w:p w14:paraId="4D567EC0" w14:textId="12FCEE23" w:rsidR="00966F66" w:rsidRPr="00CD135D" w:rsidRDefault="004F493B" w:rsidP="004F493B">
            <w:pPr>
              <w:pStyle w:val="BulletListDense"/>
              <w:rPr>
                <w:rFonts w:cs="Calibri"/>
                <w:szCs w:val="22"/>
              </w:rPr>
            </w:pPr>
            <w:r>
              <w:t xml:space="preserve">Use of Microsoft and other </w:t>
            </w:r>
            <w:r w:rsidR="00025F62">
              <w:t>E-Systems</w:t>
            </w:r>
            <w:r>
              <w:t xml:space="preserve"> including excel spreadsheets. </w:t>
            </w:r>
          </w:p>
          <w:p w14:paraId="5B5C944A" w14:textId="77777777" w:rsidR="00CD135D" w:rsidRPr="00CD135D" w:rsidRDefault="00CD135D" w:rsidP="004F493B">
            <w:pPr>
              <w:pStyle w:val="BulletListDense"/>
              <w:rPr>
                <w:rFonts w:cs="Calibri"/>
                <w:szCs w:val="22"/>
              </w:rPr>
            </w:pPr>
            <w:r>
              <w:t>Use of record keeping systems</w:t>
            </w:r>
          </w:p>
          <w:p w14:paraId="0D5A2483" w14:textId="4A9CB37D" w:rsidR="00CA4494" w:rsidRPr="002238E5" w:rsidRDefault="00CD135D" w:rsidP="0056160F">
            <w:pPr>
              <w:pStyle w:val="BulletListDense"/>
              <w:rPr>
                <w:rFonts w:cs="Calibri"/>
                <w:szCs w:val="22"/>
              </w:rPr>
            </w:pPr>
            <w:r>
              <w:t>Understanding of</w:t>
            </w:r>
            <w:r w:rsidR="00887676">
              <w:t xml:space="preserve"> statutory and regulatory requirements within healthcare and why these are </w:t>
            </w:r>
            <w:r w:rsidR="00025F62">
              <w:t>important.</w:t>
            </w:r>
          </w:p>
          <w:p w14:paraId="3B562B01" w14:textId="34010106" w:rsidR="002238E5" w:rsidRPr="0056160F" w:rsidRDefault="002238E5" w:rsidP="0056160F">
            <w:pPr>
              <w:pStyle w:val="BulletListDense"/>
              <w:rPr>
                <w:rFonts w:cs="Calibri"/>
                <w:szCs w:val="22"/>
              </w:rPr>
            </w:pPr>
            <w:r>
              <w:t>Training and development of others</w:t>
            </w:r>
          </w:p>
        </w:tc>
        <w:tc>
          <w:tcPr>
            <w:tcW w:w="3728" w:type="dxa"/>
          </w:tcPr>
          <w:p w14:paraId="73BCA857" w14:textId="11EEC0C4" w:rsidR="00966F66" w:rsidRPr="00966F66" w:rsidRDefault="00966F66" w:rsidP="009D6545">
            <w:pPr>
              <w:pStyle w:val="BulletListDense"/>
              <w:numPr>
                <w:ilvl w:val="0"/>
                <w:numId w:val="0"/>
              </w:numPr>
              <w:ind w:left="360"/>
              <w:rPr>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D903D2F" w14:textId="31CF71EB" w:rsidR="004F493B" w:rsidRDefault="004F493B" w:rsidP="0056160F">
            <w:pPr>
              <w:pStyle w:val="ListParagraph"/>
              <w:numPr>
                <w:ilvl w:val="0"/>
                <w:numId w:val="16"/>
              </w:numPr>
              <w:spacing w:beforeLines="100" w:before="240" w:afterLines="100" w:after="240"/>
              <w:rPr>
                <w:rFonts w:cs="Calibri"/>
                <w:szCs w:val="22"/>
              </w:rPr>
            </w:pPr>
            <w:r>
              <w:rPr>
                <w:rFonts w:cs="Calibri"/>
              </w:rPr>
              <w:t>Understand the importance of SLA, KPI’s and meeting deadlines.</w:t>
            </w:r>
          </w:p>
          <w:p w14:paraId="1950BE24" w14:textId="77777777" w:rsidR="00575B58" w:rsidRDefault="00966F66" w:rsidP="009F4A2F">
            <w:pPr>
              <w:pStyle w:val="ListParagraph"/>
              <w:numPr>
                <w:ilvl w:val="0"/>
                <w:numId w:val="16"/>
              </w:numPr>
              <w:spacing w:beforeLines="100" w:before="240" w:afterLines="100" w:after="240"/>
              <w:rPr>
                <w:rFonts w:cs="Calibri"/>
                <w:szCs w:val="22"/>
              </w:rPr>
            </w:pPr>
            <w:r w:rsidRPr="00575B58">
              <w:rPr>
                <w:rFonts w:cs="Calibri"/>
                <w:szCs w:val="22"/>
              </w:rPr>
              <w:t>IT literate – intermediate level minimum</w:t>
            </w:r>
          </w:p>
          <w:p w14:paraId="6D8AB8ED" w14:textId="309222D6" w:rsidR="00575B58" w:rsidRPr="00575B58" w:rsidRDefault="0056160F" w:rsidP="000C681F">
            <w:pPr>
              <w:pStyle w:val="ListParagraph"/>
              <w:numPr>
                <w:ilvl w:val="0"/>
                <w:numId w:val="16"/>
              </w:numPr>
              <w:spacing w:beforeLines="100" w:before="240" w:afterLines="100" w:after="240"/>
              <w:rPr>
                <w:rFonts w:cs="Calibri"/>
                <w:szCs w:val="22"/>
              </w:rPr>
            </w:pPr>
            <w:r>
              <w:t xml:space="preserve">Ability to lead due diligence and information gathering </w:t>
            </w:r>
            <w:r w:rsidR="00025F62">
              <w:t>processes.</w:t>
            </w:r>
          </w:p>
          <w:p w14:paraId="628AF11D" w14:textId="0CE9B254" w:rsidR="0056160F" w:rsidRPr="00575B58" w:rsidRDefault="0056160F" w:rsidP="000C681F">
            <w:pPr>
              <w:pStyle w:val="ListParagraph"/>
              <w:numPr>
                <w:ilvl w:val="0"/>
                <w:numId w:val="16"/>
              </w:numPr>
              <w:spacing w:beforeLines="100" w:before="240" w:afterLines="100" w:after="240"/>
              <w:rPr>
                <w:rFonts w:cs="Calibri"/>
                <w:szCs w:val="22"/>
              </w:rPr>
            </w:pPr>
            <w:r>
              <w:t xml:space="preserve">Ability to lead </w:t>
            </w:r>
            <w:r w:rsidR="00025F62">
              <w:t>audits.</w:t>
            </w:r>
          </w:p>
          <w:p w14:paraId="2F77305B" w14:textId="3E1DB68E" w:rsidR="0056160F" w:rsidRPr="009F68CA" w:rsidRDefault="0056160F" w:rsidP="0056160F">
            <w:pPr>
              <w:pStyle w:val="ListParagraph"/>
              <w:numPr>
                <w:ilvl w:val="0"/>
                <w:numId w:val="16"/>
              </w:numPr>
              <w:spacing w:beforeLines="100" w:before="240" w:afterLines="100" w:after="240"/>
              <w:rPr>
                <w:rFonts w:cs="Calibri"/>
                <w:szCs w:val="22"/>
              </w:rPr>
            </w:pPr>
            <w:r>
              <w:rPr>
                <w:rFonts w:cs="Calibri"/>
                <w:szCs w:val="22"/>
              </w:rPr>
              <w:t>Ability to lead quality improvement plans/mitigation plans/RCA logs</w:t>
            </w: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199D53E" w14:textId="714FC585" w:rsidR="0046518D" w:rsidRDefault="0046518D" w:rsidP="00987099">
            <w:pPr>
              <w:pStyle w:val="ListParagraph"/>
              <w:numPr>
                <w:ilvl w:val="0"/>
                <w:numId w:val="16"/>
              </w:numPr>
              <w:spacing w:beforeLines="100" w:before="240" w:afterLines="100" w:after="240"/>
              <w:rPr>
                <w:rFonts w:cs="Calibri"/>
                <w:szCs w:val="22"/>
              </w:rPr>
            </w:pPr>
            <w:r>
              <w:rPr>
                <w:rFonts w:cs="Calibri"/>
                <w:szCs w:val="22"/>
              </w:rPr>
              <w:t>Ongoing personal learning and development</w:t>
            </w:r>
          </w:p>
          <w:p w14:paraId="2F7B2EB4" w14:textId="77777777" w:rsidR="0046518D" w:rsidRDefault="0046518D" w:rsidP="0046518D">
            <w:pPr>
              <w:pStyle w:val="ListParagraph"/>
              <w:spacing w:beforeLines="100" w:before="240" w:afterLines="100" w:after="240"/>
              <w:ind w:left="360"/>
              <w:rPr>
                <w:rFonts w:cs="Calibri"/>
                <w:szCs w:val="22"/>
              </w:rPr>
            </w:pPr>
          </w:p>
          <w:p w14:paraId="0D4C2651" w14:textId="51656EAA"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r w:rsidR="00DC3988">
              <w:rPr>
                <w:rFonts w:cs="Calibri"/>
                <w:szCs w:val="22"/>
              </w:rPr>
              <w:t>,</w:t>
            </w:r>
            <w:r w:rsidR="001C51A6">
              <w:rPr>
                <w:rFonts w:cs="Calibri"/>
                <w:szCs w:val="22"/>
              </w:rPr>
              <w:t xml:space="preserve"> VHG values and vision</w:t>
            </w:r>
            <w:r w:rsidRPr="00987099">
              <w:rPr>
                <w:rFonts w:cs="Calibri"/>
                <w:szCs w:val="22"/>
              </w:rPr>
              <w:t>.</w:t>
            </w:r>
          </w:p>
          <w:p w14:paraId="1C9F90DB" w14:textId="77777777" w:rsidR="00575B58" w:rsidRDefault="00575B58" w:rsidP="00575B58">
            <w:pPr>
              <w:pStyle w:val="ListParagraph"/>
              <w:spacing w:beforeLines="100" w:before="240" w:afterLines="100" w:after="240"/>
              <w:ind w:left="360"/>
              <w:rPr>
                <w:rFonts w:cs="Calibri"/>
                <w:szCs w:val="22"/>
              </w:rPr>
            </w:pPr>
          </w:p>
          <w:p w14:paraId="3D669F48" w14:textId="354113C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w:t>
            </w:r>
            <w:r w:rsidR="001C51A6">
              <w:rPr>
                <w:rFonts w:cs="Calibri"/>
                <w:szCs w:val="22"/>
              </w:rPr>
              <w:t xml:space="preserve"> and key stakeholders</w:t>
            </w:r>
            <w:r w:rsidRPr="00987099">
              <w:rPr>
                <w:rFonts w:cs="Calibri"/>
                <w:szCs w:val="22"/>
              </w:rPr>
              <w:t>.</w:t>
            </w:r>
          </w:p>
          <w:p w14:paraId="1EB91A0D" w14:textId="77777777" w:rsidR="00987099" w:rsidRPr="00987099" w:rsidRDefault="00987099" w:rsidP="00987099">
            <w:pPr>
              <w:pStyle w:val="ListParagraph"/>
              <w:spacing w:beforeLines="100" w:before="240" w:afterLines="100" w:after="240"/>
              <w:rPr>
                <w:rFonts w:cs="Calibri"/>
                <w:szCs w:val="22"/>
              </w:rPr>
            </w:pP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FFC1B7F" w14:textId="77777777" w:rsidR="00987099" w:rsidRPr="00987099" w:rsidRDefault="00987099" w:rsidP="00987099">
            <w:pPr>
              <w:pStyle w:val="ListParagraph"/>
              <w:rPr>
                <w:rFonts w:cs="Calibri"/>
                <w:szCs w:val="22"/>
              </w:rPr>
            </w:pP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lastRenderedPageBreak/>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13D82599"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w:t>
            </w:r>
            <w:r w:rsidR="00575B58">
              <w:rPr>
                <w:rFonts w:cs="Calibri"/>
                <w:szCs w:val="22"/>
              </w:rPr>
              <w:t>,</w:t>
            </w:r>
            <w:r w:rsidRPr="00987099">
              <w:rPr>
                <w:rFonts w:cs="Calibri"/>
                <w:szCs w:val="22"/>
              </w:rPr>
              <w:t xml:space="preserve"> motivation</w:t>
            </w:r>
            <w:r w:rsidR="002238E5">
              <w:rPr>
                <w:rFonts w:cs="Calibri"/>
                <w:szCs w:val="22"/>
              </w:rPr>
              <w:t>, and drive</w:t>
            </w: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567D038F"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r w:rsidR="00BA4D96">
              <w:rPr>
                <w:rFonts w:cs="Calibri"/>
                <w:szCs w:val="22"/>
              </w:rPr>
              <w:t xml:space="preserve"> and using own </w:t>
            </w:r>
            <w:r w:rsidR="00025F62">
              <w:rPr>
                <w:rFonts w:cs="Calibri"/>
                <w:szCs w:val="22"/>
              </w:rPr>
              <w:t>initiative.</w:t>
            </w:r>
          </w:p>
          <w:p w14:paraId="4A028584" w14:textId="049A63AD" w:rsidR="001D244A" w:rsidRPr="001D244A" w:rsidRDefault="001D244A" w:rsidP="00987099">
            <w:pPr>
              <w:pStyle w:val="ListParagraph"/>
              <w:rPr>
                <w:rFonts w:cs="Calibri"/>
                <w:szCs w:val="22"/>
              </w:rPr>
            </w:pPr>
          </w:p>
          <w:p w14:paraId="4BC625CE" w14:textId="3BBCBD21"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 commitment to supporting and facilitating diversity and inclusion</w:t>
            </w:r>
            <w:r w:rsidR="00BA4D96">
              <w:rPr>
                <w:rFonts w:eastAsia="Times New Roman"/>
              </w:rPr>
              <w:t xml:space="preserve"> within the </w:t>
            </w:r>
            <w:r w:rsidR="00025F62">
              <w:rPr>
                <w:rFonts w:eastAsia="Times New Roman"/>
              </w:rPr>
              <w:t>team.</w:t>
            </w:r>
          </w:p>
          <w:p w14:paraId="50D30DD3" w14:textId="77777777" w:rsidR="001D244A" w:rsidRPr="001D244A" w:rsidRDefault="001D244A" w:rsidP="001D244A">
            <w:pPr>
              <w:pStyle w:val="ListParagraph"/>
              <w:spacing w:beforeLines="100" w:before="240" w:afterLines="100" w:after="240"/>
              <w:rPr>
                <w:rFonts w:cs="Calibri"/>
                <w:szCs w:val="22"/>
              </w:rPr>
            </w:pPr>
          </w:p>
          <w:p w14:paraId="0414D951" w14:textId="77777777" w:rsidR="00966F66" w:rsidRPr="002238E5"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p w14:paraId="2EE1981F" w14:textId="77777777" w:rsidR="002238E5" w:rsidRPr="002238E5" w:rsidRDefault="002238E5" w:rsidP="002238E5">
            <w:pPr>
              <w:pStyle w:val="ListParagraph"/>
              <w:rPr>
                <w:rFonts w:cs="Calibri"/>
                <w:szCs w:val="22"/>
              </w:rPr>
            </w:pPr>
          </w:p>
          <w:p w14:paraId="21FB89F2" w14:textId="3D83F960" w:rsidR="002238E5" w:rsidRPr="001D244A" w:rsidRDefault="002238E5" w:rsidP="001D244A">
            <w:pPr>
              <w:pStyle w:val="ListParagraph"/>
              <w:numPr>
                <w:ilvl w:val="0"/>
                <w:numId w:val="18"/>
              </w:numPr>
              <w:spacing w:beforeLines="100" w:before="240" w:afterLines="100" w:after="240"/>
              <w:rPr>
                <w:rFonts w:cs="Calibri"/>
                <w:szCs w:val="22"/>
              </w:rPr>
            </w:pPr>
            <w:r>
              <w:rPr>
                <w:rFonts w:cs="Calibri"/>
                <w:szCs w:val="22"/>
              </w:rPr>
              <w:t>Approachable, compassionate</w:t>
            </w:r>
            <w:r w:rsidR="008C2A3E">
              <w:rPr>
                <w:rFonts w:cs="Calibri"/>
                <w:szCs w:val="22"/>
              </w:rPr>
              <w:t>,</w:t>
            </w:r>
            <w:r>
              <w:rPr>
                <w:rFonts w:cs="Calibri"/>
                <w:szCs w:val="22"/>
              </w:rPr>
              <w:t xml:space="preserve"> and empathetic</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D585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D585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D585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251950">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C682" w14:textId="77777777" w:rsidR="00251950" w:rsidRDefault="00251950" w:rsidP="00A96CB2">
      <w:r>
        <w:separator/>
      </w:r>
    </w:p>
  </w:endnote>
  <w:endnote w:type="continuationSeparator" w:id="0">
    <w:p w14:paraId="66D8CEA7" w14:textId="77777777" w:rsidR="00251950" w:rsidRDefault="0025195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4470690" w:rsidR="00073D92" w:rsidRPr="00F553DC" w:rsidRDefault="00073D92" w:rsidP="00073D92">
          <w:pPr>
            <w:pStyle w:val="Footer1"/>
            <w:ind w:left="459"/>
          </w:pPr>
          <w:r>
            <w:t>Head Office</w:t>
          </w:r>
          <w:r w:rsidRPr="00F553DC">
            <w:t xml:space="preserve">: Vita Health Group, </w:t>
          </w:r>
          <w:r w:rsidR="00424F42">
            <w:t>14 Woolhall Street</w:t>
          </w:r>
          <w:r w:rsidRPr="00F553DC">
            <w:t>, Bury St Edmunds IP33 1</w:t>
          </w:r>
          <w:r w:rsidR="00A909D9">
            <w:t>LA</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F9A790A" w:rsidR="00073D92" w:rsidRPr="00511A17" w:rsidRDefault="00A909D9" w:rsidP="00073D92">
                <w:pPr>
                  <w:pStyle w:val="Footer1"/>
                </w:pPr>
                <w:r>
                  <w:t>Head Office</w:t>
                </w:r>
                <w:r w:rsidRPr="00F553DC">
                  <w:t xml:space="preserve">: Vita Health Group, </w:t>
                </w:r>
                <w:r>
                  <w:t>14 Woolhall Street</w:t>
                </w:r>
                <w:r w:rsidRPr="00F553DC">
                  <w:t>, Bury St Edmunds IP33 1</w:t>
                </w:r>
                <w:r>
                  <w:t xml:space="preserve">LA </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BB13" w14:textId="77777777" w:rsidR="00251950" w:rsidRDefault="00251950" w:rsidP="00A96CB2">
      <w:r>
        <w:separator/>
      </w:r>
    </w:p>
  </w:footnote>
  <w:footnote w:type="continuationSeparator" w:id="0">
    <w:p w14:paraId="0F173AB6" w14:textId="77777777" w:rsidR="00251950" w:rsidRDefault="0025195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7B0826B" w:rsidR="005E1013" w:rsidRPr="004A6AA8" w:rsidRDefault="009D585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32533">
                                <w:t>Senior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7B0826B" w:rsidR="005E1013" w:rsidRPr="004A6AA8" w:rsidRDefault="009D585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32533">
                          <w:t>Senior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95DA797" w:rsidR="00AD6216" w:rsidRPr="004A6AA8" w:rsidRDefault="009D5858"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A214B">
                                <w:t>Senior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95DA797" w:rsidR="00AD6216" w:rsidRPr="004A6AA8" w:rsidRDefault="009D5858"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A214B">
                          <w:t>Senior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B72FE2"/>
    <w:multiLevelType w:val="hybridMultilevel"/>
    <w:tmpl w:val="51C2E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24A2E80A"/>
    <w:lvl w:ilvl="0" w:tplc="6316D51C">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62558D8"/>
    <w:multiLevelType w:val="hybridMultilevel"/>
    <w:tmpl w:val="32DE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1759C4"/>
    <w:multiLevelType w:val="multilevel"/>
    <w:tmpl w:val="FAFA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D367E6"/>
    <w:multiLevelType w:val="hybridMultilevel"/>
    <w:tmpl w:val="7FC8A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274801"/>
    <w:multiLevelType w:val="hybridMultilevel"/>
    <w:tmpl w:val="724C3E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0E6373"/>
    <w:multiLevelType w:val="hybridMultilevel"/>
    <w:tmpl w:val="E9E0E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D292D39"/>
    <w:multiLevelType w:val="hybridMultilevel"/>
    <w:tmpl w:val="29366B94"/>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3367">
    <w:abstractNumId w:val="10"/>
  </w:num>
  <w:num w:numId="2" w16cid:durableId="660156312">
    <w:abstractNumId w:val="11"/>
  </w:num>
  <w:num w:numId="3" w16cid:durableId="2071003519">
    <w:abstractNumId w:val="3"/>
  </w:num>
  <w:num w:numId="4" w16cid:durableId="1739786460">
    <w:abstractNumId w:val="2"/>
  </w:num>
  <w:num w:numId="5" w16cid:durableId="1502037710">
    <w:abstractNumId w:val="1"/>
  </w:num>
  <w:num w:numId="6" w16cid:durableId="653527011">
    <w:abstractNumId w:val="0"/>
  </w:num>
  <w:num w:numId="7" w16cid:durableId="1440955518">
    <w:abstractNumId w:val="20"/>
  </w:num>
  <w:num w:numId="8" w16cid:durableId="522672034">
    <w:abstractNumId w:val="21"/>
  </w:num>
  <w:num w:numId="9" w16cid:durableId="1197236608">
    <w:abstractNumId w:val="13"/>
  </w:num>
  <w:num w:numId="10" w16cid:durableId="666060067">
    <w:abstractNumId w:val="4"/>
  </w:num>
  <w:num w:numId="11" w16cid:durableId="1627854181">
    <w:abstractNumId w:val="14"/>
  </w:num>
  <w:num w:numId="12" w16cid:durableId="488060759">
    <w:abstractNumId w:val="8"/>
  </w:num>
  <w:num w:numId="13" w16cid:durableId="1263762786">
    <w:abstractNumId w:val="6"/>
  </w:num>
  <w:num w:numId="14" w16cid:durableId="881207947">
    <w:abstractNumId w:val="23"/>
  </w:num>
  <w:num w:numId="15" w16cid:durableId="2075616495">
    <w:abstractNumId w:val="22"/>
  </w:num>
  <w:num w:numId="16" w16cid:durableId="365838220">
    <w:abstractNumId w:val="17"/>
  </w:num>
  <w:num w:numId="17" w16cid:durableId="197863523">
    <w:abstractNumId w:val="5"/>
  </w:num>
  <w:num w:numId="18" w16cid:durableId="367218441">
    <w:abstractNumId w:val="19"/>
  </w:num>
  <w:num w:numId="19" w16cid:durableId="208732471">
    <w:abstractNumId w:val="9"/>
  </w:num>
  <w:num w:numId="20" w16cid:durableId="733045367">
    <w:abstractNumId w:val="18"/>
  </w:num>
  <w:num w:numId="21" w16cid:durableId="2059544934">
    <w:abstractNumId w:val="7"/>
  </w:num>
  <w:num w:numId="22" w16cid:durableId="1249535726">
    <w:abstractNumId w:val="16"/>
  </w:num>
  <w:num w:numId="23" w16cid:durableId="925462499">
    <w:abstractNumId w:val="12"/>
  </w:num>
  <w:num w:numId="24" w16cid:durableId="63984251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21C28"/>
    <w:rsid w:val="00025F62"/>
    <w:rsid w:val="0003359B"/>
    <w:rsid w:val="00033CAC"/>
    <w:rsid w:val="000361B6"/>
    <w:rsid w:val="00043F0C"/>
    <w:rsid w:val="000451AC"/>
    <w:rsid w:val="00060E16"/>
    <w:rsid w:val="00060F4B"/>
    <w:rsid w:val="00073D92"/>
    <w:rsid w:val="0007487D"/>
    <w:rsid w:val="000778C3"/>
    <w:rsid w:val="0008067D"/>
    <w:rsid w:val="000806A5"/>
    <w:rsid w:val="00084EE2"/>
    <w:rsid w:val="00087549"/>
    <w:rsid w:val="00090E80"/>
    <w:rsid w:val="0009523A"/>
    <w:rsid w:val="00096451"/>
    <w:rsid w:val="000B3659"/>
    <w:rsid w:val="000B469D"/>
    <w:rsid w:val="000B543A"/>
    <w:rsid w:val="000C22EE"/>
    <w:rsid w:val="000C67D0"/>
    <w:rsid w:val="000D4238"/>
    <w:rsid w:val="000F1AD1"/>
    <w:rsid w:val="000F3980"/>
    <w:rsid w:val="001138E4"/>
    <w:rsid w:val="00120557"/>
    <w:rsid w:val="00124D3F"/>
    <w:rsid w:val="0013237D"/>
    <w:rsid w:val="00132A6E"/>
    <w:rsid w:val="00142FF8"/>
    <w:rsid w:val="0014514A"/>
    <w:rsid w:val="00145448"/>
    <w:rsid w:val="001521BA"/>
    <w:rsid w:val="00160E58"/>
    <w:rsid w:val="001613CA"/>
    <w:rsid w:val="0016739B"/>
    <w:rsid w:val="0017011E"/>
    <w:rsid w:val="00171CA9"/>
    <w:rsid w:val="001730A7"/>
    <w:rsid w:val="001853B9"/>
    <w:rsid w:val="00192749"/>
    <w:rsid w:val="00192FF2"/>
    <w:rsid w:val="00195D47"/>
    <w:rsid w:val="001A1E1C"/>
    <w:rsid w:val="001A4354"/>
    <w:rsid w:val="001A4CFA"/>
    <w:rsid w:val="001A5D93"/>
    <w:rsid w:val="001B2A78"/>
    <w:rsid w:val="001B362D"/>
    <w:rsid w:val="001C51A6"/>
    <w:rsid w:val="001C5B1F"/>
    <w:rsid w:val="001D0E38"/>
    <w:rsid w:val="001D244A"/>
    <w:rsid w:val="001D371C"/>
    <w:rsid w:val="001E1018"/>
    <w:rsid w:val="001E6C57"/>
    <w:rsid w:val="001F49AE"/>
    <w:rsid w:val="001F746B"/>
    <w:rsid w:val="001F7B2B"/>
    <w:rsid w:val="00202504"/>
    <w:rsid w:val="00203534"/>
    <w:rsid w:val="00204178"/>
    <w:rsid w:val="00204B7E"/>
    <w:rsid w:val="0020579B"/>
    <w:rsid w:val="00214E5E"/>
    <w:rsid w:val="002238E5"/>
    <w:rsid w:val="00232ED5"/>
    <w:rsid w:val="00240176"/>
    <w:rsid w:val="002429BC"/>
    <w:rsid w:val="0024338F"/>
    <w:rsid w:val="0025137D"/>
    <w:rsid w:val="00251950"/>
    <w:rsid w:val="0026053A"/>
    <w:rsid w:val="002632E3"/>
    <w:rsid w:val="00266994"/>
    <w:rsid w:val="00266A7A"/>
    <w:rsid w:val="002767D4"/>
    <w:rsid w:val="00284165"/>
    <w:rsid w:val="0029726E"/>
    <w:rsid w:val="002A0337"/>
    <w:rsid w:val="002A0415"/>
    <w:rsid w:val="002A1244"/>
    <w:rsid w:val="002A19D2"/>
    <w:rsid w:val="002A56DE"/>
    <w:rsid w:val="002A5741"/>
    <w:rsid w:val="002B31B1"/>
    <w:rsid w:val="002B5840"/>
    <w:rsid w:val="002B5A8B"/>
    <w:rsid w:val="002C1886"/>
    <w:rsid w:val="002C26B0"/>
    <w:rsid w:val="002C4F9F"/>
    <w:rsid w:val="002D43EC"/>
    <w:rsid w:val="002E12D8"/>
    <w:rsid w:val="002F6E88"/>
    <w:rsid w:val="003009D3"/>
    <w:rsid w:val="003031A8"/>
    <w:rsid w:val="003033D4"/>
    <w:rsid w:val="003163AC"/>
    <w:rsid w:val="00316560"/>
    <w:rsid w:val="00317A49"/>
    <w:rsid w:val="00317DFA"/>
    <w:rsid w:val="0032018C"/>
    <w:rsid w:val="00331E01"/>
    <w:rsid w:val="0033354B"/>
    <w:rsid w:val="00333BA5"/>
    <w:rsid w:val="003355CB"/>
    <w:rsid w:val="003469E4"/>
    <w:rsid w:val="003509A2"/>
    <w:rsid w:val="00351272"/>
    <w:rsid w:val="00355EEB"/>
    <w:rsid w:val="00360217"/>
    <w:rsid w:val="003650D1"/>
    <w:rsid w:val="003751F1"/>
    <w:rsid w:val="00384923"/>
    <w:rsid w:val="00386514"/>
    <w:rsid w:val="0038772C"/>
    <w:rsid w:val="0038785C"/>
    <w:rsid w:val="00387F9C"/>
    <w:rsid w:val="003916F2"/>
    <w:rsid w:val="00395B04"/>
    <w:rsid w:val="003A576E"/>
    <w:rsid w:val="003A591F"/>
    <w:rsid w:val="003B3ED7"/>
    <w:rsid w:val="003C044C"/>
    <w:rsid w:val="003D5CE0"/>
    <w:rsid w:val="003D7868"/>
    <w:rsid w:val="003E2915"/>
    <w:rsid w:val="003E6AC1"/>
    <w:rsid w:val="003F47B2"/>
    <w:rsid w:val="0040035C"/>
    <w:rsid w:val="00400F4B"/>
    <w:rsid w:val="00407655"/>
    <w:rsid w:val="00407D0E"/>
    <w:rsid w:val="00411224"/>
    <w:rsid w:val="004130E5"/>
    <w:rsid w:val="004131C8"/>
    <w:rsid w:val="00414E62"/>
    <w:rsid w:val="004150FB"/>
    <w:rsid w:val="00416A41"/>
    <w:rsid w:val="00420840"/>
    <w:rsid w:val="00424F42"/>
    <w:rsid w:val="004304F8"/>
    <w:rsid w:val="00432533"/>
    <w:rsid w:val="00443145"/>
    <w:rsid w:val="0044317B"/>
    <w:rsid w:val="00443196"/>
    <w:rsid w:val="0044619C"/>
    <w:rsid w:val="00446BA1"/>
    <w:rsid w:val="004513F5"/>
    <w:rsid w:val="00454CE4"/>
    <w:rsid w:val="00457906"/>
    <w:rsid w:val="004605E8"/>
    <w:rsid w:val="004624E2"/>
    <w:rsid w:val="00463B4C"/>
    <w:rsid w:val="00464C15"/>
    <w:rsid w:val="0046518D"/>
    <w:rsid w:val="004653A9"/>
    <w:rsid w:val="00465718"/>
    <w:rsid w:val="00473A7D"/>
    <w:rsid w:val="004754E6"/>
    <w:rsid w:val="00481D33"/>
    <w:rsid w:val="00484AB2"/>
    <w:rsid w:val="00484AE6"/>
    <w:rsid w:val="004B0D6E"/>
    <w:rsid w:val="004D7F07"/>
    <w:rsid w:val="004E07B2"/>
    <w:rsid w:val="004E1C18"/>
    <w:rsid w:val="004E41EB"/>
    <w:rsid w:val="004E7224"/>
    <w:rsid w:val="004F007D"/>
    <w:rsid w:val="004F04E2"/>
    <w:rsid w:val="004F05E6"/>
    <w:rsid w:val="004F0645"/>
    <w:rsid w:val="004F493B"/>
    <w:rsid w:val="00504A67"/>
    <w:rsid w:val="00510B40"/>
    <w:rsid w:val="0051296C"/>
    <w:rsid w:val="00520E16"/>
    <w:rsid w:val="00522574"/>
    <w:rsid w:val="00522685"/>
    <w:rsid w:val="0052453F"/>
    <w:rsid w:val="005263EA"/>
    <w:rsid w:val="00527F54"/>
    <w:rsid w:val="00536D88"/>
    <w:rsid w:val="005378DD"/>
    <w:rsid w:val="005460A4"/>
    <w:rsid w:val="00555C11"/>
    <w:rsid w:val="0055685A"/>
    <w:rsid w:val="0055697C"/>
    <w:rsid w:val="00556A5E"/>
    <w:rsid w:val="00557C5F"/>
    <w:rsid w:val="0056160F"/>
    <w:rsid w:val="005679BE"/>
    <w:rsid w:val="005750BA"/>
    <w:rsid w:val="00575B58"/>
    <w:rsid w:val="005775F8"/>
    <w:rsid w:val="00583E2F"/>
    <w:rsid w:val="00586007"/>
    <w:rsid w:val="00591C77"/>
    <w:rsid w:val="00592992"/>
    <w:rsid w:val="00593E74"/>
    <w:rsid w:val="005A0A53"/>
    <w:rsid w:val="005A0F48"/>
    <w:rsid w:val="005A2909"/>
    <w:rsid w:val="005B2E5C"/>
    <w:rsid w:val="005B4322"/>
    <w:rsid w:val="005B5863"/>
    <w:rsid w:val="005B7E5E"/>
    <w:rsid w:val="005D2209"/>
    <w:rsid w:val="005E0177"/>
    <w:rsid w:val="005E1013"/>
    <w:rsid w:val="005E337E"/>
    <w:rsid w:val="005E39A8"/>
    <w:rsid w:val="005F0F5C"/>
    <w:rsid w:val="005F4391"/>
    <w:rsid w:val="006004A9"/>
    <w:rsid w:val="00603A2A"/>
    <w:rsid w:val="0060404F"/>
    <w:rsid w:val="00604464"/>
    <w:rsid w:val="00612BE0"/>
    <w:rsid w:val="006157B2"/>
    <w:rsid w:val="00615C4F"/>
    <w:rsid w:val="00615CDB"/>
    <w:rsid w:val="00617303"/>
    <w:rsid w:val="006265CF"/>
    <w:rsid w:val="00633851"/>
    <w:rsid w:val="00634E75"/>
    <w:rsid w:val="00640978"/>
    <w:rsid w:val="00640F57"/>
    <w:rsid w:val="00641071"/>
    <w:rsid w:val="00641CF4"/>
    <w:rsid w:val="0064279A"/>
    <w:rsid w:val="0064305C"/>
    <w:rsid w:val="006478FD"/>
    <w:rsid w:val="006513C6"/>
    <w:rsid w:val="006552F0"/>
    <w:rsid w:val="0065774A"/>
    <w:rsid w:val="006630B8"/>
    <w:rsid w:val="006644DE"/>
    <w:rsid w:val="00667BBA"/>
    <w:rsid w:val="00671ADC"/>
    <w:rsid w:val="00681597"/>
    <w:rsid w:val="00693619"/>
    <w:rsid w:val="00693A0A"/>
    <w:rsid w:val="006A1513"/>
    <w:rsid w:val="006A3264"/>
    <w:rsid w:val="006A615A"/>
    <w:rsid w:val="006A7FC8"/>
    <w:rsid w:val="006B647C"/>
    <w:rsid w:val="006D2FDE"/>
    <w:rsid w:val="006D42D3"/>
    <w:rsid w:val="006D5A73"/>
    <w:rsid w:val="006D6121"/>
    <w:rsid w:val="006D6F7B"/>
    <w:rsid w:val="006E187D"/>
    <w:rsid w:val="006E41DC"/>
    <w:rsid w:val="006F1D94"/>
    <w:rsid w:val="006F280C"/>
    <w:rsid w:val="006F3CA2"/>
    <w:rsid w:val="00721860"/>
    <w:rsid w:val="00722C6C"/>
    <w:rsid w:val="00723AA9"/>
    <w:rsid w:val="00731D7C"/>
    <w:rsid w:val="00735584"/>
    <w:rsid w:val="00740086"/>
    <w:rsid w:val="00746F1C"/>
    <w:rsid w:val="00747019"/>
    <w:rsid w:val="00750F11"/>
    <w:rsid w:val="00757D37"/>
    <w:rsid w:val="0076372D"/>
    <w:rsid w:val="00777004"/>
    <w:rsid w:val="00785B9C"/>
    <w:rsid w:val="00795FE6"/>
    <w:rsid w:val="007A0A7A"/>
    <w:rsid w:val="007A1410"/>
    <w:rsid w:val="007A1AC7"/>
    <w:rsid w:val="007B1F14"/>
    <w:rsid w:val="007B1F7A"/>
    <w:rsid w:val="007B7162"/>
    <w:rsid w:val="007C317F"/>
    <w:rsid w:val="007C3433"/>
    <w:rsid w:val="007C3C30"/>
    <w:rsid w:val="007D07FC"/>
    <w:rsid w:val="007E2E8C"/>
    <w:rsid w:val="007E2ED2"/>
    <w:rsid w:val="007F2A61"/>
    <w:rsid w:val="007F2D27"/>
    <w:rsid w:val="007F39CC"/>
    <w:rsid w:val="007F3D23"/>
    <w:rsid w:val="007F4542"/>
    <w:rsid w:val="007F473F"/>
    <w:rsid w:val="007F72F9"/>
    <w:rsid w:val="00800B5C"/>
    <w:rsid w:val="00815033"/>
    <w:rsid w:val="00815820"/>
    <w:rsid w:val="00817458"/>
    <w:rsid w:val="008257DB"/>
    <w:rsid w:val="00836694"/>
    <w:rsid w:val="00841586"/>
    <w:rsid w:val="008421E2"/>
    <w:rsid w:val="0084383C"/>
    <w:rsid w:val="00850BD3"/>
    <w:rsid w:val="00862B51"/>
    <w:rsid w:val="00870118"/>
    <w:rsid w:val="00874D19"/>
    <w:rsid w:val="00887676"/>
    <w:rsid w:val="008878E1"/>
    <w:rsid w:val="00893F03"/>
    <w:rsid w:val="00897505"/>
    <w:rsid w:val="008A0F87"/>
    <w:rsid w:val="008A3664"/>
    <w:rsid w:val="008A4241"/>
    <w:rsid w:val="008B46BC"/>
    <w:rsid w:val="008B6F22"/>
    <w:rsid w:val="008C2A3E"/>
    <w:rsid w:val="008C2BF8"/>
    <w:rsid w:val="008C3FE4"/>
    <w:rsid w:val="008D26D9"/>
    <w:rsid w:val="008D3D07"/>
    <w:rsid w:val="008D63A7"/>
    <w:rsid w:val="008E6C1F"/>
    <w:rsid w:val="008F06F6"/>
    <w:rsid w:val="008F4ECD"/>
    <w:rsid w:val="008F504E"/>
    <w:rsid w:val="009006AB"/>
    <w:rsid w:val="009057A6"/>
    <w:rsid w:val="00912BD6"/>
    <w:rsid w:val="0091620C"/>
    <w:rsid w:val="00917EC9"/>
    <w:rsid w:val="00925C40"/>
    <w:rsid w:val="00925DD9"/>
    <w:rsid w:val="0093351B"/>
    <w:rsid w:val="00937225"/>
    <w:rsid w:val="009379D3"/>
    <w:rsid w:val="0094406F"/>
    <w:rsid w:val="00945FA7"/>
    <w:rsid w:val="009513D4"/>
    <w:rsid w:val="00952D23"/>
    <w:rsid w:val="00952FC7"/>
    <w:rsid w:val="0095664B"/>
    <w:rsid w:val="00957E57"/>
    <w:rsid w:val="00962BC8"/>
    <w:rsid w:val="00964E5E"/>
    <w:rsid w:val="00965D5C"/>
    <w:rsid w:val="00966F66"/>
    <w:rsid w:val="00973D5C"/>
    <w:rsid w:val="00975A1A"/>
    <w:rsid w:val="00985CAA"/>
    <w:rsid w:val="00986B7F"/>
    <w:rsid w:val="00987099"/>
    <w:rsid w:val="00992211"/>
    <w:rsid w:val="009939C2"/>
    <w:rsid w:val="00995349"/>
    <w:rsid w:val="009A706F"/>
    <w:rsid w:val="009B2062"/>
    <w:rsid w:val="009B41B8"/>
    <w:rsid w:val="009B5764"/>
    <w:rsid w:val="009C130F"/>
    <w:rsid w:val="009D5858"/>
    <w:rsid w:val="009D591E"/>
    <w:rsid w:val="009D6545"/>
    <w:rsid w:val="009D6E7F"/>
    <w:rsid w:val="009D715E"/>
    <w:rsid w:val="009E17C6"/>
    <w:rsid w:val="009E32A2"/>
    <w:rsid w:val="009E4D3C"/>
    <w:rsid w:val="009E5D85"/>
    <w:rsid w:val="009F68CA"/>
    <w:rsid w:val="00A00821"/>
    <w:rsid w:val="00A01BF7"/>
    <w:rsid w:val="00A01FD0"/>
    <w:rsid w:val="00A0365A"/>
    <w:rsid w:val="00A03CBA"/>
    <w:rsid w:val="00A06DD2"/>
    <w:rsid w:val="00A215C5"/>
    <w:rsid w:val="00A30410"/>
    <w:rsid w:val="00A32694"/>
    <w:rsid w:val="00A34AC6"/>
    <w:rsid w:val="00A36C2B"/>
    <w:rsid w:val="00A413AE"/>
    <w:rsid w:val="00A51DA9"/>
    <w:rsid w:val="00A562C0"/>
    <w:rsid w:val="00A62D61"/>
    <w:rsid w:val="00A66B4F"/>
    <w:rsid w:val="00A820BE"/>
    <w:rsid w:val="00A850C3"/>
    <w:rsid w:val="00A87CA6"/>
    <w:rsid w:val="00A909D9"/>
    <w:rsid w:val="00A909EF"/>
    <w:rsid w:val="00A914A8"/>
    <w:rsid w:val="00A92AED"/>
    <w:rsid w:val="00A95664"/>
    <w:rsid w:val="00A96CB2"/>
    <w:rsid w:val="00AA197E"/>
    <w:rsid w:val="00AA214B"/>
    <w:rsid w:val="00AB3482"/>
    <w:rsid w:val="00AB3E87"/>
    <w:rsid w:val="00AB4BF5"/>
    <w:rsid w:val="00AB54C4"/>
    <w:rsid w:val="00AC21A4"/>
    <w:rsid w:val="00AC6C00"/>
    <w:rsid w:val="00AC76FA"/>
    <w:rsid w:val="00AD1C29"/>
    <w:rsid w:val="00AD6216"/>
    <w:rsid w:val="00AF5C72"/>
    <w:rsid w:val="00AF6D0E"/>
    <w:rsid w:val="00B12B0B"/>
    <w:rsid w:val="00B16AD2"/>
    <w:rsid w:val="00B2053D"/>
    <w:rsid w:val="00B21F3B"/>
    <w:rsid w:val="00B21FAC"/>
    <w:rsid w:val="00B26481"/>
    <w:rsid w:val="00B3389B"/>
    <w:rsid w:val="00B442D7"/>
    <w:rsid w:val="00B46344"/>
    <w:rsid w:val="00B464F7"/>
    <w:rsid w:val="00B4728A"/>
    <w:rsid w:val="00B507D2"/>
    <w:rsid w:val="00B51359"/>
    <w:rsid w:val="00B550CC"/>
    <w:rsid w:val="00B70651"/>
    <w:rsid w:val="00B7223F"/>
    <w:rsid w:val="00B72E04"/>
    <w:rsid w:val="00B73492"/>
    <w:rsid w:val="00B82905"/>
    <w:rsid w:val="00B83328"/>
    <w:rsid w:val="00B92016"/>
    <w:rsid w:val="00B97D29"/>
    <w:rsid w:val="00BA2EBD"/>
    <w:rsid w:val="00BA4D96"/>
    <w:rsid w:val="00BB0231"/>
    <w:rsid w:val="00BB1657"/>
    <w:rsid w:val="00BB21B1"/>
    <w:rsid w:val="00BB21C7"/>
    <w:rsid w:val="00BB327E"/>
    <w:rsid w:val="00BB3F7F"/>
    <w:rsid w:val="00BC09DF"/>
    <w:rsid w:val="00BC296B"/>
    <w:rsid w:val="00BC7E72"/>
    <w:rsid w:val="00BD35D8"/>
    <w:rsid w:val="00BE23CC"/>
    <w:rsid w:val="00BE301B"/>
    <w:rsid w:val="00BE40EB"/>
    <w:rsid w:val="00BE4EA4"/>
    <w:rsid w:val="00BE5017"/>
    <w:rsid w:val="00BE5187"/>
    <w:rsid w:val="00BE7270"/>
    <w:rsid w:val="00BF1249"/>
    <w:rsid w:val="00BF4261"/>
    <w:rsid w:val="00BF485A"/>
    <w:rsid w:val="00BF6F51"/>
    <w:rsid w:val="00BF7514"/>
    <w:rsid w:val="00C04138"/>
    <w:rsid w:val="00C07454"/>
    <w:rsid w:val="00C07A4A"/>
    <w:rsid w:val="00C26FAA"/>
    <w:rsid w:val="00C30DFE"/>
    <w:rsid w:val="00C45AB2"/>
    <w:rsid w:val="00C470DD"/>
    <w:rsid w:val="00C50A66"/>
    <w:rsid w:val="00C57856"/>
    <w:rsid w:val="00C600C2"/>
    <w:rsid w:val="00C653AC"/>
    <w:rsid w:val="00C7219D"/>
    <w:rsid w:val="00C76852"/>
    <w:rsid w:val="00C80E5F"/>
    <w:rsid w:val="00C81BF9"/>
    <w:rsid w:val="00C82BDB"/>
    <w:rsid w:val="00C83042"/>
    <w:rsid w:val="00C87148"/>
    <w:rsid w:val="00C941CE"/>
    <w:rsid w:val="00C9711B"/>
    <w:rsid w:val="00CA4494"/>
    <w:rsid w:val="00CA4700"/>
    <w:rsid w:val="00CA7205"/>
    <w:rsid w:val="00CB45D6"/>
    <w:rsid w:val="00CC0EF5"/>
    <w:rsid w:val="00CC5C14"/>
    <w:rsid w:val="00CD135D"/>
    <w:rsid w:val="00CD16C2"/>
    <w:rsid w:val="00CD2638"/>
    <w:rsid w:val="00CE3F89"/>
    <w:rsid w:val="00CE436D"/>
    <w:rsid w:val="00CE517C"/>
    <w:rsid w:val="00CE61E1"/>
    <w:rsid w:val="00CE6F74"/>
    <w:rsid w:val="00CF320A"/>
    <w:rsid w:val="00CF326B"/>
    <w:rsid w:val="00D00FDB"/>
    <w:rsid w:val="00D01434"/>
    <w:rsid w:val="00D070A1"/>
    <w:rsid w:val="00D13D94"/>
    <w:rsid w:val="00D15202"/>
    <w:rsid w:val="00D331FB"/>
    <w:rsid w:val="00D352BC"/>
    <w:rsid w:val="00D4532F"/>
    <w:rsid w:val="00D601C6"/>
    <w:rsid w:val="00D610B8"/>
    <w:rsid w:val="00D6530B"/>
    <w:rsid w:val="00D66587"/>
    <w:rsid w:val="00D76E89"/>
    <w:rsid w:val="00D80091"/>
    <w:rsid w:val="00D801E2"/>
    <w:rsid w:val="00D809D9"/>
    <w:rsid w:val="00D813DC"/>
    <w:rsid w:val="00D84D7D"/>
    <w:rsid w:val="00D8509B"/>
    <w:rsid w:val="00D878BA"/>
    <w:rsid w:val="00D95F11"/>
    <w:rsid w:val="00D962FC"/>
    <w:rsid w:val="00DA0293"/>
    <w:rsid w:val="00DA12CF"/>
    <w:rsid w:val="00DC1336"/>
    <w:rsid w:val="00DC3988"/>
    <w:rsid w:val="00DD3296"/>
    <w:rsid w:val="00DD3E6C"/>
    <w:rsid w:val="00DD6E81"/>
    <w:rsid w:val="00DD7644"/>
    <w:rsid w:val="00DE205B"/>
    <w:rsid w:val="00DE555A"/>
    <w:rsid w:val="00DF02BD"/>
    <w:rsid w:val="00E027ED"/>
    <w:rsid w:val="00E050F1"/>
    <w:rsid w:val="00E10AA4"/>
    <w:rsid w:val="00E12C2D"/>
    <w:rsid w:val="00E16C86"/>
    <w:rsid w:val="00E20C49"/>
    <w:rsid w:val="00E24CD5"/>
    <w:rsid w:val="00E25CC6"/>
    <w:rsid w:val="00E30EFC"/>
    <w:rsid w:val="00E34346"/>
    <w:rsid w:val="00E3699A"/>
    <w:rsid w:val="00E4225D"/>
    <w:rsid w:val="00E42461"/>
    <w:rsid w:val="00E4379F"/>
    <w:rsid w:val="00E65335"/>
    <w:rsid w:val="00E653E9"/>
    <w:rsid w:val="00E67A69"/>
    <w:rsid w:val="00E8547A"/>
    <w:rsid w:val="00EA06E4"/>
    <w:rsid w:val="00EA27A9"/>
    <w:rsid w:val="00EA4F39"/>
    <w:rsid w:val="00EA753A"/>
    <w:rsid w:val="00EB1387"/>
    <w:rsid w:val="00EB76F5"/>
    <w:rsid w:val="00EC4FA3"/>
    <w:rsid w:val="00ED2F2C"/>
    <w:rsid w:val="00ED6078"/>
    <w:rsid w:val="00EE4B20"/>
    <w:rsid w:val="00EE6476"/>
    <w:rsid w:val="00F024AB"/>
    <w:rsid w:val="00F03B1E"/>
    <w:rsid w:val="00F0798E"/>
    <w:rsid w:val="00F111E0"/>
    <w:rsid w:val="00F155D9"/>
    <w:rsid w:val="00F2146F"/>
    <w:rsid w:val="00F353A7"/>
    <w:rsid w:val="00F50F41"/>
    <w:rsid w:val="00F53648"/>
    <w:rsid w:val="00F54699"/>
    <w:rsid w:val="00F553DC"/>
    <w:rsid w:val="00F62430"/>
    <w:rsid w:val="00F63E60"/>
    <w:rsid w:val="00F66FA7"/>
    <w:rsid w:val="00F67D50"/>
    <w:rsid w:val="00F75F25"/>
    <w:rsid w:val="00F80ED8"/>
    <w:rsid w:val="00F83423"/>
    <w:rsid w:val="00F86180"/>
    <w:rsid w:val="00F9670F"/>
    <w:rsid w:val="00F96BAC"/>
    <w:rsid w:val="00FA0CDC"/>
    <w:rsid w:val="00FA2EC0"/>
    <w:rsid w:val="00FA47FE"/>
    <w:rsid w:val="00FB0343"/>
    <w:rsid w:val="00FB5B80"/>
    <w:rsid w:val="00FC60C6"/>
    <w:rsid w:val="00FD2EDB"/>
    <w:rsid w:val="00FD38A3"/>
    <w:rsid w:val="00FD73A7"/>
    <w:rsid w:val="00FE04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8D3D07"/>
    <w:rPr>
      <w:sz w:val="16"/>
      <w:szCs w:val="16"/>
    </w:rPr>
  </w:style>
  <w:style w:type="paragraph" w:styleId="CommentText">
    <w:name w:val="annotation text"/>
    <w:basedOn w:val="Normal"/>
    <w:link w:val="CommentTextChar"/>
    <w:uiPriority w:val="99"/>
    <w:unhideWhenUsed/>
    <w:rsid w:val="008D3D07"/>
    <w:pPr>
      <w:spacing w:line="240" w:lineRule="auto"/>
    </w:pPr>
    <w:rPr>
      <w:sz w:val="20"/>
      <w:szCs w:val="20"/>
    </w:rPr>
  </w:style>
  <w:style w:type="character" w:customStyle="1" w:styleId="CommentTextChar">
    <w:name w:val="Comment Text Char"/>
    <w:basedOn w:val="DefaultParagraphFont"/>
    <w:link w:val="CommentText"/>
    <w:uiPriority w:val="99"/>
    <w:rsid w:val="008D3D07"/>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8D3D07"/>
    <w:rPr>
      <w:b/>
      <w:bCs/>
    </w:rPr>
  </w:style>
  <w:style w:type="character" w:customStyle="1" w:styleId="CommentSubjectChar">
    <w:name w:val="Comment Subject Char"/>
    <w:basedOn w:val="CommentTextChar"/>
    <w:link w:val="CommentSubject"/>
    <w:uiPriority w:val="99"/>
    <w:semiHidden/>
    <w:rsid w:val="008D3D07"/>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01700135">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440896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55315507">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20048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516BE"/>
    <w:rsid w:val="00693029"/>
    <w:rsid w:val="0098280A"/>
    <w:rsid w:val="00CB6CF1"/>
    <w:rsid w:val="00D43D3B"/>
    <w:rsid w:val="00DB2F17"/>
    <w:rsid w:val="00E8598A"/>
    <w:rsid w:val="00FB5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338</TotalTime>
  <Pages>9</Pages>
  <Words>1700</Words>
  <Characters>9691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Officer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2024-04-04T14:28:00Z</dcterms:created>
  <dcterms:modified xsi:type="dcterms:W3CDTF">2024-04-04T14:28:00Z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