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3920E4D" w:rsidR="005E1013" w:rsidRDefault="00B3199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94F6C">
            <w:rPr>
              <w:rStyle w:val="TitleChar"/>
            </w:rPr>
            <w:t>People Compliance Manager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5D1E949" w:rsidR="00966F66" w:rsidRPr="000027EE" w:rsidRDefault="00D6692D" w:rsidP="4227B2D3">
            <w:pPr>
              <w:spacing w:before="100" w:after="100"/>
              <w:rPr>
                <w:rFonts w:eastAsia="Gill Sans MT" w:cs="Calibri"/>
                <w:szCs w:val="22"/>
              </w:rPr>
            </w:pPr>
            <w:r w:rsidRPr="00D6692D">
              <w:rPr>
                <w:rFonts w:eastAsia="Gill Sans MT" w:cs="Calibri"/>
                <w:szCs w:val="22"/>
              </w:rPr>
              <w:t>People Compliance Manager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B527E41" w:rsidR="00966F66" w:rsidRPr="000027EE" w:rsidRDefault="00E771B9" w:rsidP="4227B2D3">
            <w:pPr>
              <w:spacing w:before="100" w:after="100"/>
              <w:rPr>
                <w:rFonts w:eastAsia="Gill Sans MT" w:cs="Calibri"/>
                <w:szCs w:val="22"/>
              </w:rPr>
            </w:pPr>
            <w:r w:rsidRPr="00E771B9">
              <w:rPr>
                <w:rFonts w:eastAsia="Gill Sans MT" w:cs="Calibri"/>
                <w:szCs w:val="22"/>
              </w:rPr>
              <w:t>People Services Team</w:t>
            </w:r>
            <w:r w:rsidR="00E94F6C">
              <w:rPr>
                <w:rFonts w:eastAsia="Gill Sans MT" w:cs="Calibri"/>
                <w:szCs w:val="22"/>
              </w:rPr>
              <w:t xml:space="preserve"> (PST)</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E63625B" w:rsidR="00966F66" w:rsidRPr="000027EE" w:rsidRDefault="00333AEC" w:rsidP="4227B2D3">
            <w:pPr>
              <w:spacing w:before="100" w:after="100"/>
              <w:rPr>
                <w:rFonts w:eastAsia="Gill Sans MT" w:cs="Calibri"/>
                <w:szCs w:val="22"/>
              </w:rPr>
            </w:pPr>
            <w:r w:rsidRPr="00333AEC">
              <w:rPr>
                <w:rFonts w:eastAsia="Gill Sans MT" w:cs="Calibri"/>
                <w:szCs w:val="22"/>
              </w:rPr>
              <w:t>Remote/home based with some occasional travel and possible overnight stays to Vita Health Group centres.</w:t>
            </w:r>
          </w:p>
        </w:tc>
      </w:tr>
      <w:tr w:rsidR="007545B8" w14:paraId="34CD5063" w14:textId="77777777" w:rsidTr="1E5E83AD">
        <w:tc>
          <w:tcPr>
            <w:tcW w:w="3256" w:type="dxa"/>
            <w:vAlign w:val="center"/>
          </w:tcPr>
          <w:p w14:paraId="6310906B" w14:textId="56938909" w:rsidR="007545B8" w:rsidRDefault="007545B8" w:rsidP="00966F66">
            <w:pPr>
              <w:spacing w:before="100" w:after="100"/>
            </w:pPr>
            <w:r>
              <w:t>Hours:</w:t>
            </w:r>
          </w:p>
        </w:tc>
        <w:tc>
          <w:tcPr>
            <w:tcW w:w="6706" w:type="dxa"/>
            <w:vAlign w:val="center"/>
          </w:tcPr>
          <w:p w14:paraId="0D814F56" w14:textId="77E333CC" w:rsidR="007545B8" w:rsidRPr="007545B8" w:rsidRDefault="007545B8" w:rsidP="007545B8">
            <w:pPr>
              <w:spacing w:line="276" w:lineRule="auto"/>
              <w:rPr>
                <w:rFonts w:cs="Times New Roman"/>
                <w:b/>
                <w:bCs/>
                <w:szCs w:val="23"/>
              </w:rPr>
            </w:pPr>
            <w:r>
              <w:rPr>
                <w:rFonts w:cs="Calibri"/>
                <w:lang w:eastAsia="en-GB"/>
              </w:rPr>
              <w:t xml:space="preserve">22.5 hours per week </w:t>
            </w:r>
          </w:p>
        </w:tc>
      </w:tr>
      <w:tr w:rsidR="00966F66" w14:paraId="61E91F65" w14:textId="77777777" w:rsidTr="1E5E83AD">
        <w:tc>
          <w:tcPr>
            <w:tcW w:w="3256" w:type="dxa"/>
            <w:vAlign w:val="center"/>
          </w:tcPr>
          <w:p w14:paraId="5DBDD5AC" w14:textId="123068E4" w:rsidR="00966F66" w:rsidRDefault="00966F66" w:rsidP="00966F66">
            <w:pPr>
              <w:spacing w:before="100" w:after="100"/>
            </w:pPr>
            <w:r w:rsidRPr="004518CA">
              <w:t>Reporting to</w:t>
            </w:r>
            <w:r>
              <w:t>:</w:t>
            </w:r>
          </w:p>
        </w:tc>
        <w:tc>
          <w:tcPr>
            <w:tcW w:w="6706" w:type="dxa"/>
            <w:vAlign w:val="center"/>
          </w:tcPr>
          <w:p w14:paraId="56BB1388" w14:textId="7C7BE88F" w:rsidR="00966F66" w:rsidRPr="000027EE" w:rsidRDefault="00DD1F39" w:rsidP="4227B2D3">
            <w:pPr>
              <w:spacing w:before="100" w:after="100"/>
              <w:rPr>
                <w:rFonts w:eastAsia="Gill Sans MT" w:cs="Calibri"/>
                <w:szCs w:val="22"/>
              </w:rPr>
            </w:pPr>
            <w:r w:rsidRPr="00DD1F39">
              <w:rPr>
                <w:rFonts w:eastAsia="Gill Sans MT" w:cs="Calibri"/>
                <w:szCs w:val="22"/>
              </w:rPr>
              <w:t>Head of People Services Team</w:t>
            </w:r>
          </w:p>
        </w:tc>
      </w:tr>
      <w:tr w:rsidR="00966F66" w14:paraId="13153721" w14:textId="77777777" w:rsidTr="1E5E83AD">
        <w:tc>
          <w:tcPr>
            <w:tcW w:w="3256" w:type="dxa"/>
            <w:vAlign w:val="center"/>
          </w:tcPr>
          <w:p w14:paraId="47666179" w14:textId="2231276D" w:rsidR="00966F66" w:rsidRDefault="00966F66" w:rsidP="00966F66">
            <w:pPr>
              <w:spacing w:before="100" w:after="100"/>
            </w:pPr>
            <w:r>
              <w:t>Direct reports:</w:t>
            </w:r>
          </w:p>
        </w:tc>
        <w:tc>
          <w:tcPr>
            <w:tcW w:w="6706" w:type="dxa"/>
            <w:vAlign w:val="center"/>
          </w:tcPr>
          <w:p w14:paraId="3DB63B7E" w14:textId="52C2351F" w:rsidR="00966F66" w:rsidRPr="000027EE" w:rsidRDefault="00E94F6C" w:rsidP="4227B2D3">
            <w:pPr>
              <w:spacing w:before="100" w:after="100"/>
              <w:rPr>
                <w:rFonts w:eastAsia="Gill Sans MT" w:cs="Calibri"/>
                <w:szCs w:val="22"/>
              </w:rPr>
            </w:pPr>
            <w:r>
              <w:rPr>
                <w:rFonts w:eastAsia="Gill Sans MT" w:cs="Calibri"/>
                <w:szCs w:val="22"/>
              </w:rPr>
              <w:t xml:space="preserve">Practitioners, Administrator &amp; Facilitator </w:t>
            </w:r>
          </w:p>
        </w:tc>
      </w:tr>
      <w:tr w:rsidR="00966F66" w14:paraId="61110A87" w14:textId="77777777" w:rsidTr="1E5E83AD">
        <w:tc>
          <w:tcPr>
            <w:tcW w:w="3256" w:type="dxa"/>
            <w:vAlign w:val="center"/>
          </w:tcPr>
          <w:p w14:paraId="2FF0A51C" w14:textId="78305F22" w:rsidR="00966F66" w:rsidRDefault="00966F66" w:rsidP="00966F66">
            <w:pPr>
              <w:spacing w:before="100" w:after="100"/>
            </w:pPr>
            <w:r>
              <w:t xml:space="preserve">Accountable to: </w:t>
            </w:r>
          </w:p>
        </w:tc>
        <w:tc>
          <w:tcPr>
            <w:tcW w:w="6706" w:type="dxa"/>
            <w:vAlign w:val="center"/>
          </w:tcPr>
          <w:p w14:paraId="3DFAFEE2" w14:textId="0CB523E4" w:rsidR="00966F66" w:rsidRPr="000027EE" w:rsidRDefault="00E94F6C" w:rsidP="00966F66">
            <w:pPr>
              <w:spacing w:before="100" w:after="100"/>
              <w:rPr>
                <w:rFonts w:cs="Calibri"/>
                <w:szCs w:val="22"/>
              </w:rPr>
            </w:pPr>
            <w:r w:rsidRPr="00DD1F39">
              <w:rPr>
                <w:rFonts w:eastAsia="Gill Sans MT" w:cs="Calibri"/>
                <w:szCs w:val="22"/>
              </w:rPr>
              <w:t>Head of People Services Team</w:t>
            </w:r>
          </w:p>
        </w:tc>
      </w:tr>
      <w:tr w:rsidR="00966F66" w14:paraId="459E1B5F" w14:textId="77777777" w:rsidTr="1E5E83AD">
        <w:tc>
          <w:tcPr>
            <w:tcW w:w="3256" w:type="dxa"/>
            <w:vAlign w:val="center"/>
          </w:tcPr>
          <w:p w14:paraId="65CDC27E" w14:textId="0CE56FA0" w:rsidR="00966F66" w:rsidRDefault="00966F66" w:rsidP="00966F66">
            <w:pPr>
              <w:spacing w:before="100" w:after="100"/>
            </w:pPr>
            <w:r>
              <w:t>Responsible to:</w:t>
            </w:r>
          </w:p>
        </w:tc>
        <w:tc>
          <w:tcPr>
            <w:tcW w:w="6706" w:type="dxa"/>
            <w:vAlign w:val="center"/>
          </w:tcPr>
          <w:p w14:paraId="21AB59BB" w14:textId="4EA14781" w:rsidR="00966F66" w:rsidRPr="000027EE" w:rsidRDefault="00E94F6C" w:rsidP="00966F66">
            <w:pPr>
              <w:spacing w:before="100" w:after="100"/>
              <w:rPr>
                <w:rFonts w:cs="Calibri"/>
                <w:szCs w:val="22"/>
              </w:rPr>
            </w:pPr>
            <w:r w:rsidRPr="00DD1F39">
              <w:rPr>
                <w:rFonts w:eastAsia="Gill Sans MT" w:cs="Calibri"/>
                <w:szCs w:val="22"/>
              </w:rPr>
              <w:t>Head of People Services Team</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93D1533" w:rsidR="00966F66" w:rsidRPr="000027EE" w:rsidRDefault="008039F1" w:rsidP="000027EE">
            <w:pPr>
              <w:spacing w:before="100" w:after="100" w:line="276" w:lineRule="auto"/>
              <w:rPr>
                <w:rFonts w:eastAsia="Calibri" w:cs="Calibri"/>
                <w:szCs w:val="22"/>
              </w:rPr>
            </w:pPr>
            <w:r w:rsidRPr="008039F1">
              <w:rPr>
                <w:rFonts w:eastAsia="Calibri" w:cs="Calibri"/>
                <w:szCs w:val="22"/>
              </w:rPr>
              <w:t xml:space="preserve">To undertake internal People Services and HR investigations of varying complexity in line with Company policies, </w:t>
            </w:r>
            <w:proofErr w:type="gramStart"/>
            <w:r w:rsidRPr="008039F1">
              <w:rPr>
                <w:rFonts w:eastAsia="Calibri" w:cs="Calibri"/>
                <w:szCs w:val="22"/>
              </w:rPr>
              <w:t>procedures</w:t>
            </w:r>
            <w:proofErr w:type="gramEnd"/>
            <w:r w:rsidRPr="008039F1">
              <w:rPr>
                <w:rFonts w:eastAsia="Calibri" w:cs="Calibri"/>
                <w:szCs w:val="22"/>
              </w:rPr>
              <w:t xml:space="preserve"> and best practice. In conjunction with the Head of Service and supported by the wider team</w:t>
            </w:r>
            <w:r w:rsidR="003B2ACF">
              <w:rPr>
                <w:rFonts w:eastAsia="Calibri" w:cs="Calibri"/>
                <w:szCs w:val="22"/>
              </w:rPr>
              <w:t>,</w:t>
            </w:r>
            <w:r w:rsidRPr="008039F1">
              <w:rPr>
                <w:rFonts w:eastAsia="Calibri" w:cs="Calibri"/>
                <w:szCs w:val="22"/>
              </w:rPr>
              <w:t xml:space="preserve"> you will </w:t>
            </w:r>
            <w:r w:rsidR="003B2ACF">
              <w:rPr>
                <w:rFonts w:eastAsia="Calibri" w:cs="Calibri"/>
                <w:szCs w:val="22"/>
              </w:rPr>
              <w:t xml:space="preserve">be </w:t>
            </w:r>
            <w:r w:rsidRPr="008039F1">
              <w:rPr>
                <w:rFonts w:eastAsia="Calibri" w:cs="Calibri"/>
                <w:szCs w:val="22"/>
              </w:rPr>
              <w:t xml:space="preserve">carrying out both formal and informal pieces of work. This includes formal investigations </w:t>
            </w:r>
            <w:r w:rsidR="003B2ACF">
              <w:rPr>
                <w:rFonts w:eastAsia="Calibri" w:cs="Calibri"/>
                <w:szCs w:val="22"/>
              </w:rPr>
              <w:t xml:space="preserve">compliant with relevant legislation, </w:t>
            </w:r>
            <w:r w:rsidRPr="008039F1">
              <w:rPr>
                <w:rFonts w:eastAsia="Calibri" w:cs="Calibri"/>
                <w:szCs w:val="22"/>
              </w:rPr>
              <w:t>as well as informal resolutions and engagement pieces.  The role sits within the Senior Leadership Team for People Services Team and is accountable to the Head of Service</w:t>
            </w:r>
            <w:r w:rsidR="003B2ACF">
              <w:rPr>
                <w:rFonts w:eastAsia="Calibri" w:cs="Calibri"/>
                <w:szCs w:val="22"/>
              </w:rPr>
              <w:t>,</w:t>
            </w:r>
            <w:r w:rsidRPr="008039F1">
              <w:rPr>
                <w:rFonts w:eastAsia="Calibri" w:cs="Calibri"/>
                <w:szCs w:val="22"/>
              </w:rPr>
              <w:t xml:space="preserve"> often deputising in their absence. The role requires a very flexible working approach. You will also be expected to engage</w:t>
            </w:r>
            <w:r w:rsidR="003B2ACF">
              <w:rPr>
                <w:rFonts w:eastAsia="Calibri" w:cs="Calibri"/>
                <w:szCs w:val="22"/>
              </w:rPr>
              <w:t xml:space="preserve"> with</w:t>
            </w:r>
            <w:r w:rsidRPr="008039F1">
              <w:rPr>
                <w:rFonts w:eastAsia="Calibri" w:cs="Calibri"/>
                <w:szCs w:val="22"/>
              </w:rPr>
              <w:t xml:space="preserve"> and support the operational team.</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00C47221" w14:textId="77777777" w:rsidR="006C5CC9" w:rsidRPr="00211F8E" w:rsidRDefault="006C5CC9" w:rsidP="006C5CC9">
            <w:pPr>
              <w:pStyle w:val="ListParagraph"/>
              <w:numPr>
                <w:ilvl w:val="0"/>
                <w:numId w:val="11"/>
              </w:numPr>
              <w:rPr>
                <w:rFonts w:cs="Calibri"/>
                <w:szCs w:val="22"/>
              </w:rPr>
            </w:pPr>
            <w:r w:rsidRPr="00211F8E">
              <w:rPr>
                <w:rFonts w:eastAsia="Times New Roman" w:cs="Calibri"/>
                <w:color w:val="2D2D2D"/>
                <w:kern w:val="0"/>
                <w:szCs w:val="22"/>
                <w:lang w:val="en-US" w:eastAsia="en-GB"/>
              </w:rPr>
              <w:t>Manage the investigation process end to end, including report writing and attending hearings where required.</w:t>
            </w:r>
          </w:p>
          <w:p w14:paraId="0B5B0DF8" w14:textId="77777777" w:rsidR="006C5CC9" w:rsidRPr="00211F8E" w:rsidRDefault="006C5CC9" w:rsidP="006C5CC9">
            <w:pPr>
              <w:pStyle w:val="ListParagraph"/>
              <w:numPr>
                <w:ilvl w:val="0"/>
                <w:numId w:val="11"/>
              </w:numPr>
              <w:rPr>
                <w:rFonts w:cs="Calibri"/>
                <w:szCs w:val="22"/>
              </w:rPr>
            </w:pPr>
            <w:r w:rsidRPr="00211F8E">
              <w:rPr>
                <w:rFonts w:eastAsia="Times New Roman" w:cs="Calibri"/>
                <w:color w:val="2D2D2D"/>
                <w:kern w:val="0"/>
                <w:szCs w:val="22"/>
                <w:lang w:val="en-US" w:eastAsia="en-GB"/>
              </w:rPr>
              <w:t xml:space="preserve">Ensure all investigations are conducted promptly, </w:t>
            </w:r>
            <w:proofErr w:type="gramStart"/>
            <w:r w:rsidRPr="00211F8E">
              <w:rPr>
                <w:rFonts w:eastAsia="Times New Roman" w:cs="Calibri"/>
                <w:color w:val="2D2D2D"/>
                <w:kern w:val="0"/>
                <w:szCs w:val="22"/>
                <w:lang w:val="en-US" w:eastAsia="en-GB"/>
              </w:rPr>
              <w:t>fairly</w:t>
            </w:r>
            <w:proofErr w:type="gramEnd"/>
            <w:r w:rsidRPr="00211F8E">
              <w:rPr>
                <w:rFonts w:eastAsia="Times New Roman" w:cs="Calibri"/>
                <w:color w:val="2D2D2D"/>
                <w:kern w:val="0"/>
                <w:szCs w:val="22"/>
                <w:lang w:val="en-US" w:eastAsia="en-GB"/>
              </w:rPr>
              <w:t xml:space="preserve"> and thoroughly.</w:t>
            </w:r>
          </w:p>
          <w:p w14:paraId="3F339C7E" w14:textId="77777777" w:rsidR="006C5CC9" w:rsidRPr="00211F8E" w:rsidRDefault="006C5CC9" w:rsidP="006C5CC9">
            <w:pPr>
              <w:numPr>
                <w:ilvl w:val="0"/>
                <w:numId w:val="11"/>
              </w:numPr>
              <w:shd w:val="clear" w:color="auto" w:fill="FFFFFF"/>
              <w:spacing w:before="100" w:beforeAutospacing="1" w:after="100" w:afterAutospacing="1"/>
              <w:rPr>
                <w:rFonts w:eastAsia="Times New Roman" w:cs="Calibri"/>
                <w:color w:val="2D2D2D"/>
                <w:szCs w:val="22"/>
                <w:lang w:eastAsia="en-GB"/>
              </w:rPr>
            </w:pPr>
            <w:r w:rsidRPr="00211F8E">
              <w:rPr>
                <w:rFonts w:eastAsia="Times New Roman" w:cs="Calibri"/>
                <w:color w:val="2D2D2D"/>
                <w:szCs w:val="22"/>
                <w:lang w:eastAsia="en-GB"/>
              </w:rPr>
              <w:t>Generate professional, well-drafted investigation records, plans and reports.</w:t>
            </w:r>
          </w:p>
          <w:p w14:paraId="3A0751FF" w14:textId="77777777" w:rsidR="006C5CC9" w:rsidRPr="00211F8E" w:rsidRDefault="006C5CC9" w:rsidP="006C5CC9">
            <w:pPr>
              <w:numPr>
                <w:ilvl w:val="0"/>
                <w:numId w:val="11"/>
              </w:numPr>
              <w:shd w:val="clear" w:color="auto" w:fill="FFFFFF"/>
              <w:spacing w:before="100" w:beforeAutospacing="1" w:after="100" w:afterAutospacing="1"/>
              <w:rPr>
                <w:rFonts w:eastAsia="Times New Roman" w:cs="Calibri"/>
                <w:color w:val="2D2D2D"/>
                <w:kern w:val="0"/>
                <w:szCs w:val="22"/>
                <w:lang w:eastAsia="en-GB"/>
              </w:rPr>
            </w:pPr>
            <w:r w:rsidRPr="005349A4">
              <w:rPr>
                <w:rFonts w:eastAsia="Times New Roman" w:cs="Calibri"/>
                <w:color w:val="2D2D2D"/>
                <w:kern w:val="0"/>
                <w:szCs w:val="22"/>
                <w:lang w:eastAsia="en-GB"/>
              </w:rPr>
              <w:t>Analyse and assess information, applying a high level of attention to detail and an awareness of the relevant legal frameworks.</w:t>
            </w:r>
          </w:p>
          <w:p w14:paraId="45E1790E" w14:textId="77777777" w:rsidR="006C5CC9" w:rsidRPr="005349A4" w:rsidRDefault="006C5CC9" w:rsidP="006C5CC9">
            <w:pPr>
              <w:numPr>
                <w:ilvl w:val="0"/>
                <w:numId w:val="11"/>
              </w:numPr>
              <w:shd w:val="clear" w:color="auto" w:fill="FFFFFF"/>
              <w:spacing w:before="100" w:beforeAutospacing="1" w:after="100" w:afterAutospacing="1"/>
              <w:rPr>
                <w:rFonts w:eastAsia="Times New Roman" w:cs="Calibri"/>
                <w:color w:val="2D2D2D"/>
                <w:szCs w:val="22"/>
                <w:lang w:eastAsia="en-GB"/>
              </w:rPr>
            </w:pPr>
            <w:r w:rsidRPr="00211F8E">
              <w:rPr>
                <w:rFonts w:eastAsia="Times New Roman" w:cs="Calibri"/>
                <w:color w:val="2D2D2D"/>
                <w:szCs w:val="22"/>
                <w:lang w:eastAsia="en-GB"/>
              </w:rPr>
              <w:t>Independently manage assigned casework</w:t>
            </w:r>
            <w:r>
              <w:rPr>
                <w:rFonts w:eastAsia="Times New Roman" w:cs="Calibri"/>
                <w:color w:val="2D2D2D"/>
                <w:szCs w:val="22"/>
                <w:lang w:eastAsia="en-GB"/>
              </w:rPr>
              <w:t>.</w:t>
            </w:r>
          </w:p>
          <w:p w14:paraId="75EDEA9F" w14:textId="77777777" w:rsidR="006C5CC9" w:rsidRPr="005349A4" w:rsidRDefault="006C5CC9" w:rsidP="006C5CC9">
            <w:pPr>
              <w:numPr>
                <w:ilvl w:val="0"/>
                <w:numId w:val="11"/>
              </w:numPr>
              <w:shd w:val="clear" w:color="auto" w:fill="FFFFFF"/>
              <w:spacing w:before="100" w:beforeAutospacing="1" w:after="100" w:afterAutospacing="1"/>
              <w:rPr>
                <w:rFonts w:eastAsia="Times New Roman" w:cs="Calibri"/>
                <w:color w:val="2D2D2D"/>
                <w:kern w:val="0"/>
                <w:szCs w:val="22"/>
                <w:lang w:eastAsia="en-GB"/>
              </w:rPr>
            </w:pPr>
            <w:r w:rsidRPr="005349A4">
              <w:rPr>
                <w:rFonts w:eastAsia="Times New Roman" w:cs="Calibri"/>
                <w:color w:val="2D2D2D"/>
                <w:kern w:val="0"/>
                <w:szCs w:val="22"/>
                <w:lang w:eastAsia="en-GB"/>
              </w:rPr>
              <w:lastRenderedPageBreak/>
              <w:t>Develop and maintain effective working relationships with internal and external stakeholders by providing consistent and quality customer service.</w:t>
            </w:r>
          </w:p>
          <w:p w14:paraId="434EBC1D" w14:textId="77777777" w:rsidR="006C5CC9" w:rsidRPr="005349A4" w:rsidRDefault="006C5CC9" w:rsidP="006C5CC9">
            <w:pPr>
              <w:numPr>
                <w:ilvl w:val="0"/>
                <w:numId w:val="11"/>
              </w:numPr>
              <w:shd w:val="clear" w:color="auto" w:fill="FFFFFF"/>
              <w:spacing w:before="100" w:beforeAutospacing="1" w:after="100" w:afterAutospacing="1"/>
              <w:rPr>
                <w:rFonts w:eastAsia="Times New Roman" w:cs="Calibri"/>
                <w:color w:val="2D2D2D"/>
                <w:kern w:val="0"/>
                <w:szCs w:val="22"/>
                <w:lang w:eastAsia="en-GB"/>
              </w:rPr>
            </w:pPr>
            <w:r w:rsidRPr="005349A4">
              <w:rPr>
                <w:rFonts w:eastAsia="Times New Roman" w:cs="Calibri"/>
                <w:color w:val="2D2D2D"/>
                <w:kern w:val="0"/>
                <w:szCs w:val="22"/>
                <w:lang w:eastAsia="en-GB"/>
              </w:rPr>
              <w:t xml:space="preserve">Manage large quantities of sensitive information in accordance with data protection legislation and </w:t>
            </w:r>
            <w:r w:rsidRPr="00211F8E">
              <w:rPr>
                <w:rFonts w:eastAsia="Times New Roman" w:cs="Calibri"/>
                <w:color w:val="2D2D2D"/>
                <w:kern w:val="0"/>
                <w:szCs w:val="22"/>
                <w:lang w:eastAsia="en-GB"/>
              </w:rPr>
              <w:t>the Company</w:t>
            </w:r>
            <w:r w:rsidRPr="005349A4">
              <w:rPr>
                <w:rFonts w:eastAsia="Times New Roman" w:cs="Calibri"/>
                <w:color w:val="2D2D2D"/>
                <w:kern w:val="0"/>
                <w:szCs w:val="22"/>
                <w:lang w:eastAsia="en-GB"/>
              </w:rPr>
              <w:t xml:space="preserve"> data management policies and procedures.</w:t>
            </w:r>
          </w:p>
          <w:p w14:paraId="3E93832C" w14:textId="77777777" w:rsidR="006C5CC9" w:rsidRPr="00211F8E" w:rsidRDefault="006C5CC9" w:rsidP="006C5CC9">
            <w:pPr>
              <w:numPr>
                <w:ilvl w:val="0"/>
                <w:numId w:val="11"/>
              </w:numPr>
              <w:shd w:val="clear" w:color="auto" w:fill="FFFFFF"/>
              <w:spacing w:before="100" w:beforeAutospacing="1" w:after="100" w:afterAutospacing="1"/>
              <w:rPr>
                <w:rFonts w:eastAsia="Times New Roman" w:cs="Calibri"/>
                <w:color w:val="2D2D2D"/>
                <w:szCs w:val="22"/>
                <w:lang w:eastAsia="en-GB"/>
              </w:rPr>
            </w:pPr>
            <w:r w:rsidRPr="00211F8E">
              <w:rPr>
                <w:rFonts w:eastAsia="Times New Roman" w:cs="Calibri"/>
                <w:color w:val="2D2D2D"/>
                <w:szCs w:val="22"/>
                <w:lang w:eastAsia="en-GB"/>
              </w:rPr>
              <w:t>Effectively assess witness credibility.</w:t>
            </w:r>
          </w:p>
          <w:p w14:paraId="3C1BF245" w14:textId="51612AF6" w:rsidR="006C5CC9" w:rsidRPr="00211F8E" w:rsidRDefault="006C5CC9" w:rsidP="006C5CC9">
            <w:pPr>
              <w:numPr>
                <w:ilvl w:val="0"/>
                <w:numId w:val="11"/>
              </w:numPr>
              <w:shd w:val="clear" w:color="auto" w:fill="FFFFFF"/>
              <w:spacing w:before="100" w:beforeAutospacing="1" w:after="100" w:afterAutospacing="1"/>
              <w:rPr>
                <w:rFonts w:eastAsia="Times New Roman" w:cs="Calibri"/>
                <w:color w:val="2D2D2D"/>
                <w:szCs w:val="22"/>
                <w:lang w:eastAsia="en-GB"/>
              </w:rPr>
            </w:pPr>
            <w:r w:rsidRPr="00211F8E">
              <w:rPr>
                <w:rFonts w:eastAsia="Times New Roman" w:cs="Calibri"/>
                <w:color w:val="2D2D2D"/>
                <w:szCs w:val="22"/>
                <w:lang w:eastAsia="en-GB"/>
              </w:rPr>
              <w:t xml:space="preserve">Analyse information collected and </w:t>
            </w:r>
            <w:proofErr w:type="gramStart"/>
            <w:r w:rsidRPr="00211F8E">
              <w:rPr>
                <w:rFonts w:eastAsia="Times New Roman" w:cs="Calibri"/>
                <w:color w:val="2D2D2D"/>
                <w:szCs w:val="22"/>
                <w:lang w:eastAsia="en-GB"/>
              </w:rPr>
              <w:t>reach</w:t>
            </w:r>
            <w:proofErr w:type="gramEnd"/>
            <w:r w:rsidRPr="00211F8E">
              <w:rPr>
                <w:rFonts w:eastAsia="Times New Roman" w:cs="Calibri"/>
                <w:color w:val="2D2D2D"/>
                <w:szCs w:val="22"/>
                <w:lang w:eastAsia="en-GB"/>
              </w:rPr>
              <w:t xml:space="preserve"> timely</w:t>
            </w:r>
            <w:r w:rsidR="003B2ACF">
              <w:rPr>
                <w:rFonts w:eastAsia="Times New Roman" w:cs="Calibri"/>
                <w:color w:val="2D2D2D"/>
                <w:szCs w:val="22"/>
                <w:lang w:eastAsia="en-GB"/>
              </w:rPr>
              <w:t>,</w:t>
            </w:r>
            <w:r w:rsidRPr="00211F8E">
              <w:rPr>
                <w:rFonts w:eastAsia="Times New Roman" w:cs="Calibri"/>
                <w:color w:val="2D2D2D"/>
                <w:szCs w:val="22"/>
                <w:lang w:eastAsia="en-GB"/>
              </w:rPr>
              <w:t xml:space="preserve"> unbiased conclusions</w:t>
            </w:r>
            <w:r w:rsidR="003B2ACF">
              <w:rPr>
                <w:rFonts w:eastAsia="Times New Roman" w:cs="Calibri"/>
                <w:color w:val="2D2D2D"/>
                <w:szCs w:val="22"/>
                <w:lang w:eastAsia="en-GB"/>
              </w:rPr>
              <w:t>.</w:t>
            </w:r>
          </w:p>
          <w:p w14:paraId="172A1F41" w14:textId="77777777" w:rsidR="006C5CC9" w:rsidRDefault="006C5CC9" w:rsidP="006C5CC9">
            <w:pPr>
              <w:numPr>
                <w:ilvl w:val="0"/>
                <w:numId w:val="11"/>
              </w:numPr>
              <w:shd w:val="clear" w:color="auto" w:fill="FFFFFF"/>
              <w:spacing w:before="100" w:beforeAutospacing="1" w:after="100" w:afterAutospacing="1"/>
              <w:rPr>
                <w:rFonts w:eastAsia="Times New Roman" w:cs="Calibri"/>
                <w:color w:val="2D2D2D"/>
                <w:szCs w:val="22"/>
                <w:lang w:eastAsia="en-GB"/>
              </w:rPr>
            </w:pPr>
            <w:r w:rsidRPr="00211F8E">
              <w:rPr>
                <w:rFonts w:eastAsia="Times New Roman" w:cs="Calibri"/>
                <w:color w:val="2D2D2D"/>
                <w:szCs w:val="22"/>
                <w:lang w:eastAsia="en-GB"/>
              </w:rPr>
              <w:t>Maintain confidentiality and sensitivity to all issues.</w:t>
            </w:r>
          </w:p>
          <w:p w14:paraId="45FDC074" w14:textId="77777777" w:rsidR="006C5CC9" w:rsidRPr="00AA6F0F" w:rsidRDefault="006C5CC9" w:rsidP="006C5CC9">
            <w:pPr>
              <w:numPr>
                <w:ilvl w:val="0"/>
                <w:numId w:val="11"/>
              </w:numPr>
              <w:shd w:val="clear" w:color="auto" w:fill="FFFFFF"/>
              <w:spacing w:before="100" w:beforeAutospacing="1" w:after="100" w:afterAutospacing="1"/>
              <w:rPr>
                <w:rFonts w:eastAsia="Times New Roman" w:cs="Calibri"/>
                <w:szCs w:val="22"/>
                <w:lang w:eastAsia="en-GB"/>
              </w:rPr>
            </w:pPr>
            <w:r w:rsidRPr="00AA6F0F">
              <w:rPr>
                <w:rFonts w:eastAsia="Times New Roman" w:cs="Calibri"/>
                <w:szCs w:val="22"/>
                <w:lang w:eastAsia="en-GB"/>
              </w:rPr>
              <w:t>Work closely with both the People Services and Freedom to Speak Up teams.</w:t>
            </w:r>
          </w:p>
          <w:p w14:paraId="32CCF2B1" w14:textId="77777777" w:rsidR="006C5CC9" w:rsidRPr="00AA6F0F" w:rsidRDefault="006C5CC9" w:rsidP="006C5CC9">
            <w:pPr>
              <w:numPr>
                <w:ilvl w:val="0"/>
                <w:numId w:val="11"/>
              </w:numPr>
              <w:shd w:val="clear" w:color="auto" w:fill="FFFFFF"/>
              <w:spacing w:before="100" w:beforeAutospacing="1" w:after="100" w:afterAutospacing="1"/>
              <w:rPr>
                <w:rFonts w:eastAsia="Times New Roman" w:cs="Calibri"/>
                <w:szCs w:val="22"/>
                <w:lang w:eastAsia="en-GB"/>
              </w:rPr>
            </w:pPr>
            <w:r w:rsidRPr="00AA6F0F">
              <w:rPr>
                <w:rFonts w:eastAsia="Times New Roman" w:cs="Calibri"/>
                <w:szCs w:val="22"/>
                <w:lang w:eastAsia="en-GB"/>
              </w:rPr>
              <w:t xml:space="preserve">Carryout engagement work to support colleagues and help prevent formal processes. </w:t>
            </w:r>
          </w:p>
          <w:p w14:paraId="7B872DE3" w14:textId="77777777" w:rsidR="006C5CC9" w:rsidRPr="00AA6F0F" w:rsidRDefault="006C5CC9" w:rsidP="006C5CC9">
            <w:pPr>
              <w:numPr>
                <w:ilvl w:val="0"/>
                <w:numId w:val="11"/>
              </w:numPr>
              <w:shd w:val="clear" w:color="auto" w:fill="FFFFFF"/>
              <w:spacing w:before="100" w:beforeAutospacing="1" w:after="100" w:afterAutospacing="1"/>
              <w:rPr>
                <w:rFonts w:eastAsia="Times New Roman" w:cs="Calibri"/>
                <w:szCs w:val="22"/>
                <w:lang w:eastAsia="en-GB"/>
              </w:rPr>
            </w:pPr>
            <w:r w:rsidRPr="00AA6F0F">
              <w:rPr>
                <w:rFonts w:eastAsia="Times New Roman" w:cs="Calibri"/>
                <w:szCs w:val="22"/>
                <w:lang w:eastAsia="en-GB"/>
              </w:rPr>
              <w:t>Policy development.</w:t>
            </w:r>
          </w:p>
          <w:p w14:paraId="0BF86982" w14:textId="77777777" w:rsidR="006C5CC9" w:rsidRPr="00AA6F0F" w:rsidRDefault="006C5CC9" w:rsidP="006C5CC9">
            <w:pPr>
              <w:numPr>
                <w:ilvl w:val="0"/>
                <w:numId w:val="11"/>
              </w:numPr>
              <w:shd w:val="clear" w:color="auto" w:fill="FFFFFF"/>
              <w:spacing w:before="100" w:beforeAutospacing="1" w:after="100" w:afterAutospacing="1"/>
              <w:rPr>
                <w:rFonts w:eastAsia="Times New Roman" w:cs="Calibri"/>
                <w:szCs w:val="22"/>
                <w:lang w:eastAsia="en-GB"/>
              </w:rPr>
            </w:pPr>
            <w:r w:rsidRPr="00AA6F0F">
              <w:rPr>
                <w:rFonts w:eastAsia="Times New Roman" w:cs="Calibri"/>
                <w:szCs w:val="22"/>
                <w:lang w:eastAsia="en-GB"/>
              </w:rPr>
              <w:t>Stakeholder engagement to facilitate policy and procedure improvement.</w:t>
            </w:r>
          </w:p>
          <w:p w14:paraId="53F4666F" w14:textId="77777777" w:rsidR="006C5CC9" w:rsidRPr="00AA6F0F" w:rsidRDefault="006C5CC9" w:rsidP="006C5CC9">
            <w:pPr>
              <w:numPr>
                <w:ilvl w:val="0"/>
                <w:numId w:val="11"/>
              </w:numPr>
              <w:shd w:val="clear" w:color="auto" w:fill="FFFFFF"/>
              <w:spacing w:before="100" w:beforeAutospacing="1" w:after="100" w:afterAutospacing="1"/>
              <w:rPr>
                <w:rFonts w:eastAsia="Times New Roman" w:cs="Calibri"/>
                <w:szCs w:val="22"/>
                <w:lang w:eastAsia="en-GB"/>
              </w:rPr>
            </w:pPr>
            <w:r w:rsidRPr="00AA6F0F">
              <w:rPr>
                <w:rFonts w:eastAsia="Times New Roman" w:cs="Calibri"/>
                <w:szCs w:val="22"/>
                <w:lang w:eastAsia="en-GB"/>
              </w:rPr>
              <w:t>Evaluate participant experience of investigations process.</w:t>
            </w:r>
          </w:p>
          <w:p w14:paraId="620A91BB" w14:textId="696DF726" w:rsidR="006C5CC9" w:rsidRDefault="006C5CC9" w:rsidP="006C5CC9">
            <w:pPr>
              <w:numPr>
                <w:ilvl w:val="0"/>
                <w:numId w:val="11"/>
              </w:numPr>
              <w:shd w:val="clear" w:color="auto" w:fill="FFFFFF"/>
              <w:spacing w:before="100" w:beforeAutospacing="1" w:after="100" w:afterAutospacing="1"/>
              <w:rPr>
                <w:rFonts w:eastAsia="Times New Roman" w:cs="Calibri"/>
                <w:szCs w:val="22"/>
                <w:lang w:eastAsia="en-GB"/>
              </w:rPr>
            </w:pPr>
            <w:r w:rsidRPr="00AA6F0F">
              <w:rPr>
                <w:rFonts w:eastAsia="Times New Roman" w:cs="Calibri"/>
                <w:szCs w:val="22"/>
                <w:lang w:eastAsia="en-GB"/>
              </w:rPr>
              <w:t>Carry out compliance audits in services and teams</w:t>
            </w:r>
            <w:r w:rsidR="003B2ACF">
              <w:rPr>
                <w:rFonts w:eastAsia="Times New Roman" w:cs="Calibri"/>
                <w:szCs w:val="22"/>
                <w:lang w:eastAsia="en-GB"/>
              </w:rPr>
              <w:t>.</w:t>
            </w:r>
          </w:p>
          <w:p w14:paraId="1D9D6E2F" w14:textId="5E471E9B" w:rsidR="003B2ACF" w:rsidRPr="003B2ACF" w:rsidRDefault="003B2ACF" w:rsidP="003B2ACF">
            <w:pPr>
              <w:pStyle w:val="ListParagraph"/>
              <w:numPr>
                <w:ilvl w:val="0"/>
                <w:numId w:val="11"/>
              </w:numPr>
              <w:rPr>
                <w:rFonts w:cs="Calibri"/>
                <w:szCs w:val="22"/>
              </w:rPr>
            </w:pPr>
            <w:r w:rsidRPr="00AA6F0F">
              <w:rPr>
                <w:rFonts w:cs="Calibri"/>
                <w:szCs w:val="22"/>
              </w:rPr>
              <w:t>Champion VHG values and policy and procedure adherence</w:t>
            </w:r>
            <w:r>
              <w:rPr>
                <w:rFonts w:cs="Calibri"/>
                <w:szCs w:val="22"/>
              </w:rPr>
              <w:t>.</w:t>
            </w:r>
            <w:r w:rsidRPr="00AA6F0F">
              <w:rPr>
                <w:rFonts w:cs="Calibri"/>
                <w:szCs w:val="22"/>
              </w:rPr>
              <w:t xml:space="preserve"> </w:t>
            </w:r>
          </w:p>
          <w:p w14:paraId="4A8591DE" w14:textId="7789030E" w:rsidR="006C5CC9" w:rsidRPr="00645C79" w:rsidRDefault="006C5CC9" w:rsidP="006C5CC9">
            <w:pPr>
              <w:numPr>
                <w:ilvl w:val="0"/>
                <w:numId w:val="11"/>
              </w:numPr>
              <w:shd w:val="clear" w:color="auto" w:fill="FFFFFF"/>
              <w:spacing w:before="100" w:beforeAutospacing="1" w:after="100" w:afterAutospacing="1"/>
              <w:rPr>
                <w:rFonts w:eastAsia="Times New Roman" w:cs="Calibri"/>
                <w:color w:val="2D2D2D"/>
                <w:szCs w:val="22"/>
                <w:lang w:eastAsia="en-GB"/>
              </w:rPr>
            </w:pPr>
            <w:r>
              <w:rPr>
                <w:rFonts w:eastAsia="Times New Roman" w:cs="Calibri"/>
                <w:color w:val="2D2D2D"/>
                <w:szCs w:val="22"/>
                <w:lang w:eastAsia="en-GB"/>
              </w:rPr>
              <w:t>Any other reasonable request</w:t>
            </w:r>
            <w:r w:rsidR="003B2ACF">
              <w:rPr>
                <w:rFonts w:eastAsia="Times New Roman" w:cs="Calibri"/>
                <w:color w:val="2D2D2D"/>
                <w:szCs w:val="22"/>
                <w:lang w:eastAsia="en-GB"/>
              </w:rPr>
              <w:t>.</w:t>
            </w:r>
          </w:p>
          <w:p w14:paraId="71C434F7" w14:textId="77777777" w:rsidR="000027EE" w:rsidRPr="000027EE" w:rsidRDefault="000027EE" w:rsidP="1E5E83AD">
            <w:pPr>
              <w:spacing w:before="100" w:after="100" w:line="257" w:lineRule="auto"/>
              <w:rPr>
                <w:rFonts w:eastAsia="Calibri" w:cs="Calibri"/>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17B9FDEE"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r w:rsidR="003B2ACF">
              <w:t>.</w:t>
            </w:r>
          </w:p>
          <w:p w14:paraId="76A8559B" w14:textId="554F4FC7"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w:t>
            </w:r>
            <w:proofErr w:type="gramStart"/>
            <w:r w:rsidRPr="000027EE">
              <w:t>dignity</w:t>
            </w:r>
            <w:proofErr w:type="gramEnd"/>
            <w:r w:rsidRPr="000027EE">
              <w:t xml:space="preserve"> and respect</w:t>
            </w:r>
            <w:r w:rsidR="003B2ACF">
              <w:t>.</w:t>
            </w:r>
          </w:p>
          <w:p w14:paraId="710A8156" w14:textId="5EB46799"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r w:rsidR="003B2ACF">
              <w:t>.</w:t>
            </w:r>
          </w:p>
          <w:p w14:paraId="064CC7CC" w14:textId="2D221637"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w:t>
            </w:r>
            <w:r w:rsidR="003B2ACF">
              <w:t>,</w:t>
            </w:r>
            <w:r w:rsidRPr="000027EE">
              <w:t xml:space="preserve"> and raise with your manager and EDI team</w:t>
            </w:r>
            <w:r w:rsidR="003B2ACF">
              <w:t>.</w:t>
            </w:r>
          </w:p>
          <w:p w14:paraId="709F1DAE" w14:textId="0FBB0E2E"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Encourage and support others to feel confident in speaking up if they have been subjected to or witnessed bias, </w:t>
            </w:r>
            <w:proofErr w:type="gramStart"/>
            <w:r w:rsidRPr="000027EE">
              <w:t>discrimination</w:t>
            </w:r>
            <w:proofErr w:type="gramEnd"/>
            <w:r w:rsidRPr="000027EE">
              <w:t xml:space="preserve"> or prejudice</w:t>
            </w:r>
            <w:r w:rsidR="003B2ACF">
              <w:t>.</w:t>
            </w:r>
          </w:p>
          <w:p w14:paraId="5B0D39C4" w14:textId="161BB828"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w:t>
            </w:r>
            <w:proofErr w:type="gramStart"/>
            <w:r w:rsidRPr="000027EE">
              <w:t>discrimination</w:t>
            </w:r>
            <w:proofErr w:type="gramEnd"/>
            <w:r w:rsidRPr="000027EE">
              <w:t xml:space="preserve"> or prejudice</w:t>
            </w:r>
            <w:r w:rsidR="003B2ACF">
              <w:t>.</w:t>
            </w:r>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3E29B26" w14:textId="518EC405" w:rsidR="00966F66" w:rsidRDefault="00966F66" w:rsidP="00966F66">
            <w:pPr>
              <w:spacing w:before="100" w:after="100"/>
            </w:pPr>
            <w:r>
              <w:lastRenderedPageBreak/>
              <w:t>Clinical Governance:</w:t>
            </w:r>
          </w:p>
        </w:tc>
        <w:tc>
          <w:tcPr>
            <w:tcW w:w="6706" w:type="dxa"/>
            <w:vAlign w:val="center"/>
          </w:tcPr>
          <w:p w14:paraId="3766E5BC" w14:textId="110FAEB1" w:rsidR="00966F66" w:rsidRDefault="00B755AB"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5D4AE570" w:rsidR="00966F66" w:rsidRDefault="00B755AB" w:rsidP="5D247394">
            <w:pPr>
              <w:spacing w:before="100" w:after="100"/>
              <w:rPr>
                <w:rFonts w:eastAsia="Calibri" w:cs="Calibri"/>
                <w:sz w:val="21"/>
                <w:szCs w:val="21"/>
              </w:rPr>
            </w:pPr>
            <w:r>
              <w:rPr>
                <w:rFonts w:eastAsia="Calibri" w:cs="Calibri"/>
                <w:sz w:val="21"/>
                <w:szCs w:val="21"/>
              </w:rPr>
              <w:t>Ongoing</w:t>
            </w:r>
          </w:p>
        </w:tc>
      </w:tr>
      <w:tr w:rsidR="00966F66" w14:paraId="4004EF95" w14:textId="77777777" w:rsidTr="1E5E83AD">
        <w:tc>
          <w:tcPr>
            <w:tcW w:w="3256" w:type="dxa"/>
            <w:vAlign w:val="center"/>
          </w:tcPr>
          <w:p w14:paraId="0E220621" w14:textId="624718F0" w:rsidR="00966F66" w:rsidRDefault="00966F66" w:rsidP="00966F66">
            <w:pPr>
              <w:spacing w:before="100" w:after="100"/>
            </w:pPr>
          </w:p>
        </w:tc>
        <w:tc>
          <w:tcPr>
            <w:tcW w:w="6706" w:type="dxa"/>
            <w:vAlign w:val="center"/>
          </w:tcPr>
          <w:p w14:paraId="4A51D27D" w14:textId="170BC049" w:rsidR="00966F66" w:rsidRPr="00966F66" w:rsidRDefault="00966F66" w:rsidP="00B31991">
            <w:pPr>
              <w:pStyle w:val="BulletListDense"/>
              <w:numPr>
                <w:ilvl w:val="0"/>
                <w:numId w:val="0"/>
              </w:numPr>
              <w:ind w:left="853" w:hanging="360"/>
              <w:rPr>
                <w:color w:val="000000"/>
              </w:rPr>
            </w:pPr>
          </w:p>
        </w:tc>
      </w:tr>
    </w:tbl>
    <w:p w14:paraId="73227B42" w14:textId="77777777" w:rsidR="00966F66" w:rsidRDefault="00966F66">
      <w:pPr>
        <w:spacing w:after="200"/>
      </w:pPr>
    </w:p>
    <w:p w14:paraId="6F579091" w14:textId="5C948FEB" w:rsidR="00966F66" w:rsidRDefault="00966F66" w:rsidP="00B31991">
      <w:pPr>
        <w:spacing w:after="200"/>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C8EDC20" w14:textId="2F43E981" w:rsidR="00F91AAC" w:rsidRDefault="00F91AAC" w:rsidP="00F91AAC">
            <w:pPr>
              <w:pStyle w:val="ListParagraph"/>
              <w:numPr>
                <w:ilvl w:val="0"/>
                <w:numId w:val="9"/>
              </w:numPr>
              <w:spacing w:beforeLines="100" w:before="240" w:afterLines="100" w:after="240"/>
              <w:rPr>
                <w:rFonts w:eastAsia="Helvetica" w:cs="Calibri"/>
                <w:szCs w:val="22"/>
              </w:rPr>
            </w:pPr>
            <w:r w:rsidRPr="00F91AAC">
              <w:rPr>
                <w:rFonts w:eastAsia="Helvetica" w:cs="Calibri"/>
                <w:szCs w:val="22"/>
              </w:rPr>
              <w:t>CIPD qualified or equivalent experience</w:t>
            </w:r>
          </w:p>
          <w:p w14:paraId="7A090217" w14:textId="77777777" w:rsidR="001C6A77" w:rsidRPr="001C6A77" w:rsidRDefault="003B2ACF" w:rsidP="005C4633">
            <w:pPr>
              <w:pStyle w:val="ListParagraph"/>
              <w:numPr>
                <w:ilvl w:val="0"/>
                <w:numId w:val="9"/>
              </w:numPr>
              <w:spacing w:beforeLines="100" w:before="240" w:afterLines="100" w:after="240"/>
            </w:pPr>
            <w:r w:rsidRPr="001C6A77">
              <w:rPr>
                <w:rFonts w:eastAsia="Helvetica" w:cs="Calibri"/>
                <w:szCs w:val="22"/>
              </w:rPr>
              <w:t xml:space="preserve">Evidence of continued professional development relating to HR, Disability </w:t>
            </w:r>
            <w:proofErr w:type="gramStart"/>
            <w:r w:rsidRPr="001C6A77">
              <w:rPr>
                <w:rFonts w:eastAsia="Helvetica" w:cs="Calibri"/>
                <w:szCs w:val="22"/>
              </w:rPr>
              <w:t>Inclusion</w:t>
            </w:r>
            <w:proofErr w:type="gramEnd"/>
            <w:r w:rsidRPr="001C6A77">
              <w:rPr>
                <w:rFonts w:eastAsia="Helvetica" w:cs="Calibri"/>
                <w:szCs w:val="22"/>
              </w:rPr>
              <w:t xml:space="preserve"> or similar roles</w:t>
            </w:r>
          </w:p>
          <w:p w14:paraId="21070BDB" w14:textId="440E7771" w:rsidR="003B2ACF" w:rsidRDefault="003B2ACF" w:rsidP="005C4633">
            <w:pPr>
              <w:pStyle w:val="ListParagraph"/>
              <w:numPr>
                <w:ilvl w:val="0"/>
                <w:numId w:val="9"/>
              </w:numPr>
              <w:spacing w:beforeLines="100" w:before="240" w:afterLines="100" w:after="240"/>
            </w:pPr>
            <w:r>
              <w:t>GCSE English &amp; Maths (or equivalent)</w:t>
            </w:r>
          </w:p>
          <w:p w14:paraId="4D6118F3" w14:textId="77777777" w:rsidR="003B2ACF" w:rsidRPr="00F91AAC" w:rsidRDefault="003B2ACF" w:rsidP="003B2ACF">
            <w:pPr>
              <w:pStyle w:val="ListParagraph"/>
              <w:spacing w:beforeLines="100" w:before="240" w:afterLines="100" w:after="240"/>
              <w:rPr>
                <w:rFonts w:eastAsia="Helvetica" w:cs="Calibri"/>
                <w:szCs w:val="22"/>
              </w:rPr>
            </w:pPr>
          </w:p>
          <w:p w14:paraId="4315561D" w14:textId="7FD2E8AC" w:rsidR="00966F66" w:rsidRPr="00E32957" w:rsidRDefault="00966F66" w:rsidP="003B2ACF">
            <w:pPr>
              <w:pStyle w:val="ListParagraph"/>
              <w:spacing w:beforeLines="100" w:before="240" w:afterLines="100" w:after="240"/>
              <w:rPr>
                <w:rFonts w:eastAsia="Helvetica" w:cs="Calibri"/>
                <w:szCs w:val="22"/>
              </w:rPr>
            </w:pPr>
          </w:p>
        </w:tc>
        <w:tc>
          <w:tcPr>
            <w:tcW w:w="3728" w:type="dxa"/>
          </w:tcPr>
          <w:p w14:paraId="30255C50" w14:textId="77777777" w:rsidR="00B31991" w:rsidRDefault="00B31991" w:rsidP="00B31991">
            <w:pPr>
              <w:pStyle w:val="ListParagraph"/>
              <w:spacing w:beforeLines="100" w:before="240" w:afterLines="100" w:after="240"/>
              <w:rPr>
                <w:rFonts w:cs="Calibri"/>
                <w:szCs w:val="22"/>
              </w:rPr>
            </w:pPr>
          </w:p>
          <w:p w14:paraId="34E75658" w14:textId="4A621751" w:rsidR="00966F66" w:rsidRDefault="00E94F6C" w:rsidP="00DF288D">
            <w:pPr>
              <w:pStyle w:val="ListParagraph"/>
              <w:numPr>
                <w:ilvl w:val="0"/>
                <w:numId w:val="9"/>
              </w:numPr>
              <w:spacing w:beforeLines="100" w:before="240" w:afterLines="100" w:after="240"/>
              <w:rPr>
                <w:rFonts w:cs="Calibri"/>
                <w:szCs w:val="22"/>
              </w:rPr>
            </w:pPr>
            <w:r>
              <w:rPr>
                <w:rFonts w:cs="Calibri"/>
                <w:szCs w:val="22"/>
              </w:rPr>
              <w:t xml:space="preserve">A background in a clinical setting </w:t>
            </w:r>
            <w:r w:rsidR="003B2ACF">
              <w:rPr>
                <w:rFonts w:cs="Calibri"/>
                <w:szCs w:val="22"/>
              </w:rPr>
              <w:t>with a professional registration such as HCPC, NMC or similar</w:t>
            </w:r>
          </w:p>
          <w:p w14:paraId="249563A3" w14:textId="21CA8A27" w:rsidR="003B2ACF" w:rsidRPr="003B2ACF" w:rsidRDefault="003B2ACF" w:rsidP="003B2ACF">
            <w:pPr>
              <w:spacing w:beforeLines="100" w:before="240" w:afterLines="100" w:after="240"/>
              <w:ind w:left="36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7AB89B3" w14:textId="77777777" w:rsidR="003B2ACF" w:rsidRDefault="00667121" w:rsidP="003B2ACF">
            <w:pPr>
              <w:pStyle w:val="BulletListDense"/>
              <w:numPr>
                <w:ilvl w:val="0"/>
                <w:numId w:val="9"/>
              </w:numPr>
              <w:rPr>
                <w:lang w:eastAsia="en-GB"/>
              </w:rPr>
            </w:pPr>
            <w:r>
              <w:rPr>
                <w:lang w:eastAsia="en-GB"/>
              </w:rPr>
              <w:t>Proven experience of managing full investigation caseloads end-to-end, including background research, investigation interviews, report compilation and case presentation</w:t>
            </w:r>
          </w:p>
          <w:p w14:paraId="344400D1" w14:textId="19359540" w:rsidR="003B2ACF" w:rsidRPr="003B2ACF" w:rsidRDefault="003B2ACF" w:rsidP="003B2ACF">
            <w:pPr>
              <w:pStyle w:val="BulletListDense"/>
              <w:numPr>
                <w:ilvl w:val="0"/>
                <w:numId w:val="9"/>
              </w:numPr>
              <w:rPr>
                <w:lang w:eastAsia="en-GB"/>
              </w:rPr>
            </w:pPr>
            <w:r w:rsidRPr="003B2ACF">
              <w:rPr>
                <w:rFonts w:eastAsia="Helvetica" w:cs="Calibri"/>
                <w:szCs w:val="22"/>
              </w:rPr>
              <w:t xml:space="preserve">Experience in a HR operations or equivalent role for 1 year or more at a senior level </w:t>
            </w:r>
          </w:p>
          <w:p w14:paraId="2FE0143D" w14:textId="77777777" w:rsidR="003B2ACF" w:rsidRPr="00F91AAC" w:rsidRDefault="003B2ACF" w:rsidP="003B2ACF">
            <w:pPr>
              <w:pStyle w:val="ListParagraph"/>
              <w:numPr>
                <w:ilvl w:val="0"/>
                <w:numId w:val="9"/>
              </w:numPr>
              <w:spacing w:beforeLines="100" w:before="240" w:afterLines="100" w:after="240"/>
              <w:rPr>
                <w:rFonts w:eastAsia="Helvetica" w:cs="Calibri"/>
                <w:szCs w:val="22"/>
              </w:rPr>
            </w:pPr>
            <w:r w:rsidRPr="00F91AAC">
              <w:rPr>
                <w:rFonts w:eastAsia="Helvetica" w:cs="Calibri"/>
                <w:szCs w:val="22"/>
              </w:rPr>
              <w:t>Proven experience of managing full investigation caseloads end-to-end, including background research, investigation interviews, report compilation and case presentation</w:t>
            </w:r>
          </w:p>
          <w:p w14:paraId="65922FE3" w14:textId="4275387C" w:rsidR="003B2ACF" w:rsidRDefault="003B2ACF" w:rsidP="003B2ACF">
            <w:pPr>
              <w:pStyle w:val="BulletListDense"/>
              <w:numPr>
                <w:ilvl w:val="0"/>
                <w:numId w:val="9"/>
              </w:numPr>
              <w:rPr>
                <w:lang w:eastAsia="en-GB"/>
              </w:rPr>
            </w:pPr>
            <w:r w:rsidRPr="00F91AAC">
              <w:rPr>
                <w:rFonts w:eastAsia="Helvetica" w:cs="Calibri"/>
                <w:szCs w:val="22"/>
              </w:rPr>
              <w:t xml:space="preserve">Policy writing and development </w:t>
            </w:r>
            <w:proofErr w:type="gramStart"/>
            <w:r w:rsidRPr="00F91AAC">
              <w:rPr>
                <w:rFonts w:eastAsia="Helvetica" w:cs="Calibri"/>
                <w:szCs w:val="22"/>
              </w:rPr>
              <w:t>experience</w:t>
            </w:r>
            <w:proofErr w:type="gramEnd"/>
          </w:p>
          <w:p w14:paraId="2E787DC0" w14:textId="77777777" w:rsidR="00667121" w:rsidRDefault="00667121" w:rsidP="00667121">
            <w:pPr>
              <w:pStyle w:val="BulletListDense"/>
              <w:numPr>
                <w:ilvl w:val="0"/>
                <w:numId w:val="9"/>
              </w:numPr>
              <w:rPr>
                <w:lang w:eastAsia="en-GB"/>
              </w:rPr>
            </w:pPr>
            <w:r>
              <w:rPr>
                <w:lang w:eastAsia="en-GB"/>
              </w:rPr>
              <w:t>Experience of partnering with HR colleagues, Governance and Operations to ensure investigations are carried out promptly, thoroughly, and fairly.</w:t>
            </w:r>
          </w:p>
          <w:p w14:paraId="5F7CF57B" w14:textId="77777777" w:rsidR="00667121" w:rsidRDefault="00667121" w:rsidP="00667121">
            <w:pPr>
              <w:pStyle w:val="BulletListDense"/>
              <w:numPr>
                <w:ilvl w:val="0"/>
                <w:numId w:val="9"/>
              </w:numPr>
              <w:rPr>
                <w:lang w:eastAsia="en-GB"/>
              </w:rPr>
            </w:pPr>
            <w:r>
              <w:rPr>
                <w:lang w:eastAsia="en-GB"/>
              </w:rPr>
              <w:t>Experience of being able to plan, schedule and conduct effective interviews of complainants, subjects, and witnesses.</w:t>
            </w:r>
          </w:p>
          <w:p w14:paraId="57E25B81" w14:textId="77777777" w:rsidR="00667121" w:rsidRDefault="00667121" w:rsidP="00667121">
            <w:pPr>
              <w:pStyle w:val="BulletListDense"/>
              <w:numPr>
                <w:ilvl w:val="0"/>
                <w:numId w:val="9"/>
              </w:numPr>
              <w:rPr>
                <w:lang w:eastAsia="en-GB"/>
              </w:rPr>
            </w:pPr>
            <w:r>
              <w:rPr>
                <w:lang w:eastAsia="en-GB"/>
              </w:rPr>
              <w:t xml:space="preserve">Experience of gathering and reviewing relevant evidence </w:t>
            </w:r>
            <w:r>
              <w:rPr>
                <w:lang w:eastAsia="en-GB"/>
              </w:rPr>
              <w:lastRenderedPageBreak/>
              <w:t>and records related to the investigation matter(s).</w:t>
            </w:r>
          </w:p>
          <w:p w14:paraId="34957D48" w14:textId="53150A69" w:rsidR="00667121" w:rsidRPr="006907E9" w:rsidRDefault="003B2ACF" w:rsidP="00667121">
            <w:pPr>
              <w:pStyle w:val="BulletListDense"/>
              <w:numPr>
                <w:ilvl w:val="0"/>
                <w:numId w:val="9"/>
              </w:numPr>
              <w:rPr>
                <w:rFonts w:cs="Calibri"/>
                <w:color w:val="2D2D2D"/>
                <w:szCs w:val="22"/>
              </w:rPr>
            </w:pPr>
            <w:r>
              <w:t>Experience utilising</w:t>
            </w:r>
            <w:r w:rsidR="00667121">
              <w:t xml:space="preserve"> </w:t>
            </w:r>
            <w:r w:rsidR="00667121" w:rsidRPr="00EF790E">
              <w:t xml:space="preserve">MS Office applications effectively specifically Word, </w:t>
            </w:r>
            <w:proofErr w:type="gramStart"/>
            <w:r w:rsidR="00667121" w:rsidRPr="00EF790E">
              <w:t>Outlook</w:t>
            </w:r>
            <w:proofErr w:type="gramEnd"/>
            <w:r w:rsidR="00667121" w:rsidRPr="00EF790E">
              <w:t xml:space="preserve"> and Excel (intermediate level)</w:t>
            </w:r>
          </w:p>
          <w:p w14:paraId="3A5A26BD" w14:textId="77777777" w:rsidR="00667121" w:rsidRPr="006907E9" w:rsidRDefault="00667121" w:rsidP="00667121">
            <w:pPr>
              <w:pStyle w:val="BulletListDense"/>
              <w:numPr>
                <w:ilvl w:val="0"/>
                <w:numId w:val="9"/>
              </w:numPr>
            </w:pPr>
            <w:r w:rsidRPr="00987099">
              <w:t xml:space="preserve">Evidence of values that are consistent with </w:t>
            </w:r>
            <w:r>
              <w:t>Vita Health Groups</w:t>
            </w:r>
          </w:p>
          <w:p w14:paraId="3B562B01" w14:textId="1BA95F96" w:rsidR="00966F66" w:rsidRPr="00E94F6C" w:rsidRDefault="00667121" w:rsidP="00E94F6C">
            <w:pPr>
              <w:pStyle w:val="BulletListDense"/>
              <w:numPr>
                <w:ilvl w:val="0"/>
                <w:numId w:val="9"/>
              </w:numPr>
              <w:rPr>
                <w:lang w:eastAsia="en-GB"/>
              </w:rPr>
            </w:pPr>
            <w:r>
              <w:rPr>
                <w:lang w:eastAsia="en-GB"/>
              </w:rPr>
              <w:t xml:space="preserve">A track record of respectful, </w:t>
            </w:r>
            <w:proofErr w:type="gramStart"/>
            <w:r>
              <w:rPr>
                <w:lang w:eastAsia="en-GB"/>
              </w:rPr>
              <w:t>open</w:t>
            </w:r>
            <w:proofErr w:type="gramEnd"/>
            <w:r>
              <w:rPr>
                <w:lang w:eastAsia="en-GB"/>
              </w:rPr>
              <w:t xml:space="preserve"> and honest behaviour including a demonstrable commitment to inclusion and diversity</w:t>
            </w:r>
          </w:p>
        </w:tc>
        <w:tc>
          <w:tcPr>
            <w:tcW w:w="3728" w:type="dxa"/>
          </w:tcPr>
          <w:p w14:paraId="48A4E129" w14:textId="24533365" w:rsidR="00E94F6C" w:rsidRPr="00AA6F0F" w:rsidRDefault="00E94F6C" w:rsidP="00E94F6C">
            <w:pPr>
              <w:pStyle w:val="BulletListDense"/>
              <w:numPr>
                <w:ilvl w:val="0"/>
                <w:numId w:val="9"/>
              </w:numPr>
              <w:rPr>
                <w:lang w:eastAsia="en-GB"/>
              </w:rPr>
            </w:pPr>
            <w:r w:rsidRPr="00AA6F0F">
              <w:rPr>
                <w:lang w:eastAsia="en-GB"/>
              </w:rPr>
              <w:lastRenderedPageBreak/>
              <w:t xml:space="preserve">Experience working within a healthcare </w:t>
            </w:r>
            <w:proofErr w:type="gramStart"/>
            <w:r w:rsidRPr="00AA6F0F">
              <w:rPr>
                <w:lang w:eastAsia="en-GB"/>
              </w:rPr>
              <w:t>setting</w:t>
            </w:r>
            <w:proofErr w:type="gramEnd"/>
            <w:r w:rsidRPr="00AA6F0F">
              <w:rPr>
                <w:lang w:eastAsia="en-GB"/>
              </w:rPr>
              <w:t xml:space="preserve"> </w:t>
            </w:r>
          </w:p>
          <w:p w14:paraId="79422381" w14:textId="77777777" w:rsidR="00E94F6C" w:rsidRDefault="00E94F6C" w:rsidP="00E94F6C">
            <w:pPr>
              <w:pStyle w:val="BulletListDense"/>
              <w:numPr>
                <w:ilvl w:val="0"/>
                <w:numId w:val="9"/>
              </w:numPr>
            </w:pPr>
            <w:r w:rsidRPr="00EF790E">
              <w:t xml:space="preserve">An ability to engage with complex subject </w:t>
            </w:r>
            <w:proofErr w:type="gramStart"/>
            <w:r w:rsidRPr="00EF790E">
              <w:t>matters</w:t>
            </w:r>
            <w:proofErr w:type="gramEnd"/>
          </w:p>
          <w:p w14:paraId="5244F219" w14:textId="77777777" w:rsidR="00E94F6C" w:rsidRPr="00EF790E" w:rsidRDefault="00E94F6C" w:rsidP="003B2ACF">
            <w:pPr>
              <w:pStyle w:val="BulletListDense"/>
              <w:numPr>
                <w:ilvl w:val="0"/>
                <w:numId w:val="0"/>
              </w:numPr>
              <w:ind w:left="360"/>
            </w:pPr>
          </w:p>
          <w:p w14:paraId="73BCA857" w14:textId="6284B02E" w:rsidR="00966F66" w:rsidRPr="00233201" w:rsidRDefault="00966F66" w:rsidP="00E94F6C">
            <w:pPr>
              <w:shd w:val="clear" w:color="auto" w:fill="FFFFFF"/>
              <w:spacing w:before="100" w:beforeAutospacing="1" w:after="100" w:afterAutospacing="1"/>
              <w:ind w:left="72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3F10763" w14:textId="4BC4B803" w:rsidR="00E94F6C" w:rsidRDefault="003B2ACF" w:rsidP="00E94F6C">
            <w:pPr>
              <w:pStyle w:val="BulletListDense"/>
              <w:numPr>
                <w:ilvl w:val="0"/>
                <w:numId w:val="9"/>
              </w:numPr>
            </w:pPr>
            <w:r>
              <w:t>Demonstrable ability</w:t>
            </w:r>
            <w:r w:rsidR="00E94F6C" w:rsidRPr="00987099">
              <w:t xml:space="preserve"> to engage and develop working alliances with colleagues and </w:t>
            </w:r>
            <w:r w:rsidR="00E94F6C">
              <w:t xml:space="preserve">service </w:t>
            </w:r>
            <w:proofErr w:type="gramStart"/>
            <w:r w:rsidR="00E94F6C">
              <w:t>users</w:t>
            </w:r>
            <w:proofErr w:type="gramEnd"/>
          </w:p>
          <w:p w14:paraId="34768D75" w14:textId="54D41F9C" w:rsidR="003B2ACF" w:rsidRDefault="003B2ACF" w:rsidP="003B2ACF">
            <w:pPr>
              <w:pStyle w:val="BulletListDense"/>
              <w:numPr>
                <w:ilvl w:val="0"/>
                <w:numId w:val="9"/>
              </w:numPr>
              <w:rPr>
                <w:lang w:eastAsia="en-GB"/>
              </w:rPr>
            </w:pPr>
            <w:r>
              <w:rPr>
                <w:lang w:eastAsia="en-GB"/>
              </w:rPr>
              <w:t xml:space="preserve">Strong interpersonal skills and the ability to interact and communicate effectively with employees, witnesses, members of management and others during the </w:t>
            </w:r>
            <w:proofErr w:type="gramStart"/>
            <w:r>
              <w:rPr>
                <w:lang w:eastAsia="en-GB"/>
              </w:rPr>
              <w:t>investigation</w:t>
            </w:r>
            <w:proofErr w:type="gramEnd"/>
          </w:p>
          <w:p w14:paraId="128DE4BE" w14:textId="77777777" w:rsidR="003B2ACF" w:rsidRDefault="003B2ACF" w:rsidP="00E94F6C">
            <w:pPr>
              <w:pStyle w:val="BulletListDense"/>
              <w:numPr>
                <w:ilvl w:val="0"/>
                <w:numId w:val="9"/>
              </w:numPr>
              <w:rPr>
                <w:rFonts w:cs="Calibri"/>
                <w:color w:val="2D2D2D"/>
                <w:szCs w:val="22"/>
              </w:rPr>
            </w:pPr>
            <w:r>
              <w:rPr>
                <w:rFonts w:cs="Calibri"/>
                <w:color w:val="2D2D2D"/>
                <w:szCs w:val="22"/>
              </w:rPr>
              <w:t xml:space="preserve">Evidencable ability to work under pressure and within time </w:t>
            </w:r>
            <w:proofErr w:type="gramStart"/>
            <w:r>
              <w:rPr>
                <w:rFonts w:cs="Calibri"/>
                <w:color w:val="2D2D2D"/>
                <w:szCs w:val="22"/>
              </w:rPr>
              <w:t>constraints</w:t>
            </w:r>
            <w:proofErr w:type="gramEnd"/>
          </w:p>
          <w:p w14:paraId="688D0584" w14:textId="77777777" w:rsidR="003B2ACF" w:rsidRPr="00EF790E" w:rsidRDefault="003B2ACF" w:rsidP="003B2ACF">
            <w:pPr>
              <w:pStyle w:val="BulletListDense"/>
              <w:numPr>
                <w:ilvl w:val="0"/>
                <w:numId w:val="9"/>
              </w:numPr>
            </w:pPr>
            <w:r w:rsidRPr="00EF790E">
              <w:t>Strong analytical and problem-solving skills</w:t>
            </w:r>
          </w:p>
          <w:p w14:paraId="2F77305B" w14:textId="55C2F9C1" w:rsidR="003B2ACF" w:rsidRPr="003B2ACF" w:rsidRDefault="003B2ACF" w:rsidP="003B2ACF">
            <w:pPr>
              <w:pStyle w:val="BulletListDense"/>
              <w:numPr>
                <w:ilvl w:val="0"/>
                <w:numId w:val="9"/>
              </w:numPr>
            </w:pPr>
            <w:r w:rsidRPr="00EF790E">
              <w:t>Ability to multitask and prioritise workload effectively</w:t>
            </w:r>
          </w:p>
        </w:tc>
        <w:tc>
          <w:tcPr>
            <w:tcW w:w="3728" w:type="dxa"/>
          </w:tcPr>
          <w:p w14:paraId="0A86D72C" w14:textId="6A68F91A" w:rsidR="00966F66" w:rsidRPr="00AC5FDD" w:rsidRDefault="00E94F6C" w:rsidP="00DF288D">
            <w:pPr>
              <w:pStyle w:val="ListParagraph"/>
              <w:numPr>
                <w:ilvl w:val="0"/>
                <w:numId w:val="9"/>
              </w:numPr>
              <w:spacing w:beforeLines="100" w:before="240" w:afterLines="100" w:after="240"/>
              <w:rPr>
                <w:rFonts w:eastAsia="Calibri" w:cs="Calibri"/>
                <w:szCs w:val="22"/>
              </w:rPr>
            </w:pPr>
            <w:r>
              <w:rPr>
                <w:rFonts w:eastAsia="Calibri" w:cs="Calibri"/>
                <w:szCs w:val="22"/>
              </w:rPr>
              <w:t xml:space="preserve">An awareness of </w:t>
            </w:r>
            <w:r w:rsidR="003B2ACF">
              <w:rPr>
                <w:rFonts w:eastAsia="Calibri" w:cs="Calibri"/>
                <w:szCs w:val="22"/>
              </w:rPr>
              <w:t xml:space="preserve">how to </w:t>
            </w:r>
            <w:r>
              <w:rPr>
                <w:rFonts w:eastAsia="Calibri" w:cs="Calibri"/>
                <w:szCs w:val="22"/>
              </w:rPr>
              <w:t>create</w:t>
            </w:r>
            <w:r w:rsidR="003B2ACF">
              <w:rPr>
                <w:rFonts w:eastAsia="Calibri" w:cs="Calibri"/>
                <w:szCs w:val="22"/>
              </w:rPr>
              <w:t xml:space="preserve"> and implement </w:t>
            </w:r>
            <w:r>
              <w:rPr>
                <w:rFonts w:eastAsia="Calibri" w:cs="Calibri"/>
                <w:szCs w:val="22"/>
              </w:rPr>
              <w:t>strategic plans</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25D02CC0" w:rsidR="00966F66" w:rsidRPr="00AC5FDD" w:rsidRDefault="00E94F6C" w:rsidP="00DF288D">
            <w:pPr>
              <w:pStyle w:val="ListParagraph"/>
              <w:numPr>
                <w:ilvl w:val="0"/>
                <w:numId w:val="9"/>
              </w:numPr>
              <w:spacing w:beforeLines="100" w:before="240" w:afterLines="100" w:after="240"/>
              <w:rPr>
                <w:rFonts w:cs="Calibri"/>
                <w:szCs w:val="22"/>
              </w:rPr>
            </w:pPr>
            <w:r>
              <w:rPr>
                <w:rFonts w:cs="Calibri"/>
                <w:szCs w:val="22"/>
              </w:rPr>
              <w:t xml:space="preserve">Human Resources </w:t>
            </w:r>
          </w:p>
        </w:tc>
        <w:tc>
          <w:tcPr>
            <w:tcW w:w="3728" w:type="dxa"/>
          </w:tcPr>
          <w:p w14:paraId="1601FFE1" w14:textId="77777777" w:rsidR="00B31991" w:rsidRDefault="00B31991" w:rsidP="00B31991">
            <w:pPr>
              <w:pStyle w:val="ListParagraph"/>
              <w:spacing w:beforeLines="100" w:before="240" w:afterLines="100" w:after="240"/>
              <w:rPr>
                <w:rFonts w:cs="Calibri"/>
                <w:szCs w:val="22"/>
              </w:rPr>
            </w:pPr>
          </w:p>
          <w:p w14:paraId="1F5B2756" w14:textId="26E7645D" w:rsidR="00966F66" w:rsidRPr="00AC5FDD" w:rsidRDefault="00E94F6C" w:rsidP="00DF288D">
            <w:pPr>
              <w:pStyle w:val="ListParagraph"/>
              <w:numPr>
                <w:ilvl w:val="0"/>
                <w:numId w:val="9"/>
              </w:numPr>
              <w:spacing w:beforeLines="100" w:before="240" w:afterLines="100" w:after="240"/>
              <w:rPr>
                <w:rFonts w:cs="Calibri"/>
                <w:szCs w:val="22"/>
              </w:rPr>
            </w:pPr>
            <w:r>
              <w:rPr>
                <w:rFonts w:cs="Calibri"/>
                <w:szCs w:val="22"/>
              </w:rPr>
              <w:t>Human rights or EDI</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C9C7016" w14:textId="2F9C7ED8" w:rsidR="003B2ACF" w:rsidRPr="003B2ACF" w:rsidRDefault="003B2ACF" w:rsidP="003B2ACF">
            <w:pPr>
              <w:pStyle w:val="BulletListDense"/>
              <w:numPr>
                <w:ilvl w:val="0"/>
                <w:numId w:val="9"/>
              </w:numPr>
            </w:pPr>
            <w:r w:rsidRPr="00987099">
              <w:t>Ability to work under pressure</w:t>
            </w:r>
            <w:r>
              <w:t xml:space="preserve"> </w:t>
            </w:r>
            <w:r w:rsidRPr="00AA6F0F">
              <w:t>and to deadlines.</w:t>
            </w:r>
          </w:p>
          <w:p w14:paraId="26CD4A18" w14:textId="77777777" w:rsidR="003B2ACF" w:rsidRPr="003B2ACF" w:rsidRDefault="003B2ACF" w:rsidP="003B2ACF">
            <w:pPr>
              <w:pStyle w:val="BulletListDense"/>
              <w:numPr>
                <w:ilvl w:val="0"/>
                <w:numId w:val="9"/>
              </w:numPr>
              <w:rPr>
                <w:rFonts w:cs="Calibri"/>
                <w:color w:val="2D2D2D"/>
                <w:szCs w:val="22"/>
              </w:rPr>
            </w:pPr>
            <w:r w:rsidRPr="001D244A">
              <w:rPr>
                <w:rFonts w:cs="Calibri"/>
                <w:kern w:val="0"/>
                <w:szCs w:val="22"/>
              </w:rPr>
              <w:t>Excellent time management skills</w:t>
            </w:r>
          </w:p>
          <w:p w14:paraId="21FB89F2" w14:textId="3C73D924" w:rsidR="00966F66" w:rsidRPr="003B2ACF" w:rsidRDefault="003B2ACF" w:rsidP="003B2ACF">
            <w:pPr>
              <w:pStyle w:val="BulletListDense"/>
              <w:numPr>
                <w:ilvl w:val="0"/>
                <w:numId w:val="9"/>
              </w:numPr>
              <w:rPr>
                <w:lang w:eastAsia="en-GB"/>
              </w:rPr>
            </w:pPr>
            <w:r>
              <w:rPr>
                <w:lang w:eastAsia="en-GB"/>
              </w:rPr>
              <w:t>Self-motivated, detail-orientated, and highly organised.</w:t>
            </w:r>
          </w:p>
        </w:tc>
        <w:tc>
          <w:tcPr>
            <w:tcW w:w="3728" w:type="dxa"/>
          </w:tcPr>
          <w:p w14:paraId="49E7C29C" w14:textId="493F3F16" w:rsidR="00966F66" w:rsidRPr="00AC5FDD" w:rsidRDefault="00E94F6C" w:rsidP="00DF288D">
            <w:pPr>
              <w:pStyle w:val="ListParagraph"/>
              <w:numPr>
                <w:ilvl w:val="0"/>
                <w:numId w:val="9"/>
              </w:numPr>
              <w:spacing w:beforeLines="100" w:before="240" w:afterLines="100" w:after="240"/>
              <w:rPr>
                <w:rFonts w:cs="Calibri"/>
                <w:szCs w:val="22"/>
              </w:rPr>
            </w:pPr>
            <w:r>
              <w:rPr>
                <w:rFonts w:cs="Calibri"/>
                <w:szCs w:val="22"/>
              </w:rPr>
              <w:t xml:space="preserve">An understanding of health inequalities </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3199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3199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3199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B31991">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16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059F" w14:textId="77777777" w:rsidR="004F6A6F" w:rsidRDefault="004F6A6F" w:rsidP="00A96CB2">
      <w:r>
        <w:separator/>
      </w:r>
    </w:p>
  </w:endnote>
  <w:endnote w:type="continuationSeparator" w:id="0">
    <w:p w14:paraId="5AE7D639" w14:textId="77777777" w:rsidR="004F6A6F" w:rsidRDefault="004F6A6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53585454" name="Picture 5358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2AB8AE79" w:rsidR="00073D92" w:rsidRPr="00B31991" w:rsidRDefault="00073D92" w:rsidP="00073D92">
          <w:pPr>
            <w:pStyle w:val="Footer1"/>
            <w:ind w:left="459"/>
            <w:rPr>
              <w:rFonts w:cs="Calibri"/>
            </w:rPr>
          </w:pPr>
          <w:r w:rsidRPr="00B31991">
            <w:rPr>
              <w:rFonts w:cs="Calibri"/>
              <w:color w:val="BFBFBF" w:themeColor="background1" w:themeShade="BF"/>
            </w:rPr>
            <w:t>Head Office: Vita Health Group,</w:t>
          </w:r>
          <w:r w:rsidR="00B31991" w:rsidRPr="00B31991">
            <w:rPr>
              <w:rFonts w:cs="Calibri"/>
              <w:color w:val="BFBFBF" w:themeColor="background1" w:themeShade="BF"/>
            </w:rPr>
            <w:t xml:space="preserve"> </w:t>
          </w:r>
          <w:r w:rsidR="00B31991" w:rsidRPr="00B31991">
            <w:rPr>
              <w:rFonts w:cs="Calibri"/>
              <w:color w:val="BFBFBF" w:themeColor="background1" w:themeShade="BF"/>
              <w:shd w:val="clear" w:color="auto" w:fill="FFFFFF"/>
            </w:rPr>
            <w:t>14 Woolhall Street</w:t>
          </w:r>
          <w:r w:rsidR="00B31991" w:rsidRPr="00B31991">
            <w:rPr>
              <w:rFonts w:cs="Calibri"/>
              <w:color w:val="BFBFBF" w:themeColor="background1" w:themeShade="BF"/>
              <w:shd w:val="clear" w:color="auto" w:fill="FFFFFF"/>
            </w:rPr>
            <w:t xml:space="preserve">, </w:t>
          </w:r>
          <w:r w:rsidR="00B31991" w:rsidRPr="00B31991">
            <w:rPr>
              <w:rFonts w:cs="Calibri"/>
              <w:color w:val="BFBFBF" w:themeColor="background1" w:themeShade="BF"/>
              <w:shd w:val="clear" w:color="auto" w:fill="FFFFFF"/>
            </w:rPr>
            <w:t>Bury St Edmunds</w:t>
          </w:r>
          <w:r w:rsidR="00B31991" w:rsidRPr="00B31991">
            <w:rPr>
              <w:rFonts w:cs="Calibri"/>
              <w:color w:val="BFBFBF" w:themeColor="background1" w:themeShade="BF"/>
              <w:shd w:val="clear" w:color="auto" w:fill="FFFFFF"/>
            </w:rPr>
            <w:t>. IP</w:t>
          </w:r>
          <w:r w:rsidR="00B31991" w:rsidRPr="00B31991">
            <w:rPr>
              <w:rFonts w:cs="Calibri"/>
              <w:color w:val="BFBFBF" w:themeColor="background1" w:themeShade="BF"/>
              <w:shd w:val="clear" w:color="auto" w:fill="FFFFFF"/>
            </w:rPr>
            <w:t>33 1LA</w:t>
          </w:r>
          <w:r w:rsidRPr="00B31991">
            <w:rPr>
              <w:rFonts w:cs="Calibri"/>
            </w:rPr>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F6EF" w14:textId="77777777" w:rsidR="004F6A6F" w:rsidRDefault="004F6A6F" w:rsidP="00A96CB2">
      <w:r>
        <w:separator/>
      </w:r>
    </w:p>
  </w:footnote>
  <w:footnote w:type="continuationSeparator" w:id="0">
    <w:p w14:paraId="3E778789" w14:textId="77777777" w:rsidR="004F6A6F" w:rsidRDefault="004F6A6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618623561" name="Picture 618623561"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2DFF337" w:rsidR="005E1013" w:rsidRPr="004A6AA8" w:rsidRDefault="00B3199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94F6C">
                                <w:t>People Compliance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2DFF337" w:rsidR="005E1013" w:rsidRPr="004A6AA8" w:rsidRDefault="00B3199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94F6C">
                          <w:t>People Compliance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DECBC86" w:rsidR="00AD6216" w:rsidRPr="004A6AA8" w:rsidRDefault="00B3199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94F6C">
                                <w:t>People Compliance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DECBC86" w:rsidR="00AD6216" w:rsidRPr="004A6AA8" w:rsidRDefault="00B3199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94F6C">
                          <w:t>People Compliance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625344064" name="Picture 62534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B2F54A8"/>
    <w:multiLevelType w:val="multilevel"/>
    <w:tmpl w:val="F854550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45585">
    <w:abstractNumId w:val="5"/>
  </w:num>
  <w:num w:numId="2" w16cid:durableId="1684549896">
    <w:abstractNumId w:val="6"/>
  </w:num>
  <w:num w:numId="3" w16cid:durableId="487134682">
    <w:abstractNumId w:val="3"/>
  </w:num>
  <w:num w:numId="4" w16cid:durableId="1789663071">
    <w:abstractNumId w:val="2"/>
  </w:num>
  <w:num w:numId="5" w16cid:durableId="1792430622">
    <w:abstractNumId w:val="1"/>
  </w:num>
  <w:num w:numId="6" w16cid:durableId="370956676">
    <w:abstractNumId w:val="0"/>
  </w:num>
  <w:num w:numId="7" w16cid:durableId="1571961531">
    <w:abstractNumId w:val="8"/>
  </w:num>
  <w:num w:numId="8" w16cid:durableId="596254574">
    <w:abstractNumId w:val="9"/>
  </w:num>
  <w:num w:numId="9" w16cid:durableId="1519614206">
    <w:abstractNumId w:val="10"/>
  </w:num>
  <w:num w:numId="10" w16cid:durableId="1201821688">
    <w:abstractNumId w:val="4"/>
  </w:num>
  <w:num w:numId="11" w16cid:durableId="188127927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C6A77"/>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D7CB4"/>
    <w:rsid w:val="002E12D8"/>
    <w:rsid w:val="002F6E88"/>
    <w:rsid w:val="003009D3"/>
    <w:rsid w:val="003163AC"/>
    <w:rsid w:val="00317A49"/>
    <w:rsid w:val="00317DFA"/>
    <w:rsid w:val="0032018C"/>
    <w:rsid w:val="00331E01"/>
    <w:rsid w:val="0033354B"/>
    <w:rsid w:val="00333AEC"/>
    <w:rsid w:val="003355CB"/>
    <w:rsid w:val="003469E4"/>
    <w:rsid w:val="003650D1"/>
    <w:rsid w:val="0038772C"/>
    <w:rsid w:val="0038785C"/>
    <w:rsid w:val="003A576E"/>
    <w:rsid w:val="003A591F"/>
    <w:rsid w:val="003B2AC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976F4"/>
    <w:rsid w:val="004B0D6E"/>
    <w:rsid w:val="004D7F07"/>
    <w:rsid w:val="004E07B2"/>
    <w:rsid w:val="004E1C18"/>
    <w:rsid w:val="004F04E2"/>
    <w:rsid w:val="004F05E6"/>
    <w:rsid w:val="004F6A6F"/>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67121"/>
    <w:rsid w:val="00671ADC"/>
    <w:rsid w:val="00681597"/>
    <w:rsid w:val="00693619"/>
    <w:rsid w:val="00693A0A"/>
    <w:rsid w:val="006A1513"/>
    <w:rsid w:val="006A615A"/>
    <w:rsid w:val="006A7FC8"/>
    <w:rsid w:val="006B647C"/>
    <w:rsid w:val="006C5CC9"/>
    <w:rsid w:val="006D5A73"/>
    <w:rsid w:val="006D6121"/>
    <w:rsid w:val="006D6F7B"/>
    <w:rsid w:val="006E187D"/>
    <w:rsid w:val="006F280C"/>
    <w:rsid w:val="00721860"/>
    <w:rsid w:val="00722C6C"/>
    <w:rsid w:val="00723AA9"/>
    <w:rsid w:val="00735584"/>
    <w:rsid w:val="00750F11"/>
    <w:rsid w:val="007545B8"/>
    <w:rsid w:val="00757D37"/>
    <w:rsid w:val="00777004"/>
    <w:rsid w:val="00785B9C"/>
    <w:rsid w:val="0079141D"/>
    <w:rsid w:val="007A1AC7"/>
    <w:rsid w:val="007B1F7A"/>
    <w:rsid w:val="007B7162"/>
    <w:rsid w:val="007C3C30"/>
    <w:rsid w:val="007E2E8C"/>
    <w:rsid w:val="007E2ED2"/>
    <w:rsid w:val="007F2A61"/>
    <w:rsid w:val="007F2D27"/>
    <w:rsid w:val="007F473F"/>
    <w:rsid w:val="008039F1"/>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0C04"/>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31991"/>
    <w:rsid w:val="00B4728A"/>
    <w:rsid w:val="00B507D2"/>
    <w:rsid w:val="00B73492"/>
    <w:rsid w:val="00B755AB"/>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6692D"/>
    <w:rsid w:val="00D76E89"/>
    <w:rsid w:val="00D801E2"/>
    <w:rsid w:val="00D84D7D"/>
    <w:rsid w:val="00D962FC"/>
    <w:rsid w:val="00DA12CF"/>
    <w:rsid w:val="00DB2F17"/>
    <w:rsid w:val="00DD1F39"/>
    <w:rsid w:val="00DD3296"/>
    <w:rsid w:val="00DE205B"/>
    <w:rsid w:val="00DF02BD"/>
    <w:rsid w:val="00DF288D"/>
    <w:rsid w:val="00E027ED"/>
    <w:rsid w:val="00E10AA4"/>
    <w:rsid w:val="00E12C2D"/>
    <w:rsid w:val="00E32957"/>
    <w:rsid w:val="00E4225D"/>
    <w:rsid w:val="00E4379F"/>
    <w:rsid w:val="00E653E9"/>
    <w:rsid w:val="00E771B9"/>
    <w:rsid w:val="00E8547A"/>
    <w:rsid w:val="00E94F6C"/>
    <w:rsid w:val="00EA27A9"/>
    <w:rsid w:val="00EA753A"/>
    <w:rsid w:val="00EB76F5"/>
    <w:rsid w:val="00EC4FA3"/>
    <w:rsid w:val="00ED2F2C"/>
    <w:rsid w:val="00ED6078"/>
    <w:rsid w:val="00EE6476"/>
    <w:rsid w:val="00F0798E"/>
    <w:rsid w:val="00F553DC"/>
    <w:rsid w:val="00F62430"/>
    <w:rsid w:val="00F63E60"/>
    <w:rsid w:val="00F66FA7"/>
    <w:rsid w:val="00F67D50"/>
    <w:rsid w:val="00F91AAC"/>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78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A7551"/>
    <w:rsid w:val="00B760E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29</TotalTime>
  <Pages>5</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People Compliance Manager</vt:lpstr>
    </vt:vector>
  </TitlesOfParts>
  <Manager>Human Resources</Manager>
  <Company>RehabWorks</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Compliance Manager</dc:title>
  <dc:subject>Enter Sub-Title Of Policy</dc:subject>
  <dc:creator>Human Resources</dc:creator>
  <cp:keywords>TBC</cp:keywords>
  <dc:description>V1.1</dc:description>
  <cp:lastModifiedBy>Marcus West</cp:lastModifiedBy>
  <cp:revision>3</cp:revision>
  <cp:lastPrinted>2018-03-16T13:36:00Z</cp:lastPrinted>
  <dcterms:created xsi:type="dcterms:W3CDTF">2023-04-14T11:30:00Z</dcterms:created>
  <dcterms:modified xsi:type="dcterms:W3CDTF">2023-05-05T10:38:00Z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