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CF2E570" w:rsidR="005E1013" w:rsidRDefault="00547F84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AE719A">
            <w:rPr>
              <w:rStyle w:val="TitleChar"/>
            </w:rPr>
            <w:t>Payroll A</w:t>
          </w:r>
          <w:r w:rsidR="00AB4514">
            <w:rPr>
              <w:rStyle w:val="TitleChar"/>
            </w:rPr>
            <w:t>dvisor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bookmarkStart w:id="0" w:name="_Toc10532019"/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2BECE08" w:rsidR="002C636C" w:rsidRPr="002C636C" w:rsidRDefault="002C636C" w:rsidP="00966F66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Payroll Advisor</w:t>
            </w:r>
          </w:p>
        </w:tc>
      </w:tr>
      <w:tr w:rsidR="00AE719A" w14:paraId="19AB6488" w14:textId="77777777" w:rsidTr="00540976">
        <w:tc>
          <w:tcPr>
            <w:tcW w:w="3256" w:type="dxa"/>
            <w:vAlign w:val="center"/>
          </w:tcPr>
          <w:p w14:paraId="755D3B7A" w14:textId="3D2363B8" w:rsidR="00AE719A" w:rsidRDefault="00AE719A" w:rsidP="00AE719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</w:tcPr>
          <w:p w14:paraId="14BFB5BA" w14:textId="23928F04" w:rsidR="00AE719A" w:rsidRDefault="00AE719A" w:rsidP="00AE719A">
            <w:pPr>
              <w:spacing w:before="100" w:after="100"/>
            </w:pPr>
            <w:r w:rsidRPr="00063451">
              <w:rPr>
                <w:rFonts w:cs="Calibri"/>
                <w:szCs w:val="22"/>
              </w:rPr>
              <w:t>Human Resources</w:t>
            </w:r>
          </w:p>
        </w:tc>
      </w:tr>
      <w:tr w:rsidR="00AE719A" w14:paraId="5BA82C71" w14:textId="77777777" w:rsidTr="00B7558D">
        <w:tc>
          <w:tcPr>
            <w:tcW w:w="3256" w:type="dxa"/>
            <w:vAlign w:val="center"/>
          </w:tcPr>
          <w:p w14:paraId="5F3C8594" w14:textId="774214C3" w:rsidR="00AE719A" w:rsidRDefault="00AE719A" w:rsidP="00AE719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</w:tcPr>
          <w:p w14:paraId="2FDD663E" w14:textId="6B7201BE" w:rsidR="00AE719A" w:rsidRDefault="00AE719A" w:rsidP="00AE719A">
            <w:pPr>
              <w:spacing w:before="100" w:after="100"/>
            </w:pPr>
            <w:r w:rsidRPr="00063451">
              <w:rPr>
                <w:rFonts w:cs="Calibri"/>
                <w:szCs w:val="22"/>
              </w:rPr>
              <w:t>Bury St Edmunds</w:t>
            </w:r>
            <w:r w:rsidR="000E7547">
              <w:rPr>
                <w:rFonts w:cs="Calibri"/>
                <w:szCs w:val="22"/>
              </w:rPr>
              <w:t xml:space="preserve"> / Remote</w:t>
            </w:r>
          </w:p>
        </w:tc>
      </w:tr>
      <w:tr w:rsidR="00AE719A" w14:paraId="61E91F65" w14:textId="77777777" w:rsidTr="00966F66">
        <w:tc>
          <w:tcPr>
            <w:tcW w:w="3256" w:type="dxa"/>
            <w:vAlign w:val="center"/>
          </w:tcPr>
          <w:p w14:paraId="5DBDD5AC" w14:textId="0CB8AD99" w:rsidR="00AE719A" w:rsidRDefault="00AE719A" w:rsidP="00AE719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</w:tc>
        <w:tc>
          <w:tcPr>
            <w:tcW w:w="6706" w:type="dxa"/>
            <w:vAlign w:val="center"/>
          </w:tcPr>
          <w:p w14:paraId="56BB1388" w14:textId="3333B9D2" w:rsidR="00AE719A" w:rsidRDefault="00AE719A" w:rsidP="00AE719A">
            <w:pPr>
              <w:spacing w:before="100" w:after="100"/>
            </w:pPr>
            <w:r>
              <w:t xml:space="preserve">Payroll </w:t>
            </w:r>
            <w:r w:rsidR="002C636C">
              <w:t>Manager</w:t>
            </w:r>
          </w:p>
        </w:tc>
      </w:tr>
      <w:tr w:rsidR="00AE719A" w14:paraId="13153721" w14:textId="77777777" w:rsidTr="00966F66">
        <w:tc>
          <w:tcPr>
            <w:tcW w:w="3256" w:type="dxa"/>
            <w:vAlign w:val="center"/>
          </w:tcPr>
          <w:p w14:paraId="47666179" w14:textId="4CCF084D" w:rsidR="00AE719A" w:rsidRDefault="00AE719A" w:rsidP="00AE719A">
            <w:pPr>
              <w:spacing w:before="100" w:after="100"/>
            </w:pPr>
            <w:r>
              <w:t>Direct reports:</w:t>
            </w:r>
          </w:p>
        </w:tc>
        <w:tc>
          <w:tcPr>
            <w:tcW w:w="6706" w:type="dxa"/>
            <w:vAlign w:val="center"/>
          </w:tcPr>
          <w:p w14:paraId="3DB63B7E" w14:textId="694DB61E" w:rsidR="00AE719A" w:rsidRDefault="00AE719A" w:rsidP="00AE719A">
            <w:pPr>
              <w:spacing w:before="100" w:after="100"/>
            </w:pPr>
            <w:r>
              <w:t>None</w:t>
            </w:r>
          </w:p>
        </w:tc>
      </w:tr>
      <w:tr w:rsidR="00AE719A" w14:paraId="61110A87" w14:textId="77777777" w:rsidTr="00966F66">
        <w:tc>
          <w:tcPr>
            <w:tcW w:w="3256" w:type="dxa"/>
            <w:vAlign w:val="center"/>
          </w:tcPr>
          <w:p w14:paraId="2FF0A51C" w14:textId="336B4280" w:rsidR="00AE719A" w:rsidRDefault="00AE719A" w:rsidP="00AE719A">
            <w:pPr>
              <w:spacing w:before="100" w:after="100"/>
            </w:pPr>
            <w:r>
              <w:t xml:space="preserve">Accountable to: </w:t>
            </w:r>
          </w:p>
        </w:tc>
        <w:tc>
          <w:tcPr>
            <w:tcW w:w="6706" w:type="dxa"/>
            <w:vAlign w:val="center"/>
          </w:tcPr>
          <w:p w14:paraId="3DFAFEE2" w14:textId="779E7B42" w:rsidR="00AE719A" w:rsidRDefault="00AE719A" w:rsidP="00AE719A">
            <w:pPr>
              <w:spacing w:before="100" w:after="100"/>
            </w:pPr>
            <w:r>
              <w:t>N/A</w:t>
            </w:r>
          </w:p>
        </w:tc>
      </w:tr>
      <w:tr w:rsidR="00AE719A" w14:paraId="459E1B5F" w14:textId="77777777" w:rsidTr="00966F66">
        <w:tc>
          <w:tcPr>
            <w:tcW w:w="3256" w:type="dxa"/>
            <w:vAlign w:val="center"/>
          </w:tcPr>
          <w:p w14:paraId="65CDC27E" w14:textId="01A18F04" w:rsidR="00AE719A" w:rsidRDefault="00AE719A" w:rsidP="00AE719A">
            <w:pPr>
              <w:spacing w:before="100" w:after="100"/>
            </w:pPr>
            <w:r>
              <w:t>Responsible to:</w:t>
            </w:r>
          </w:p>
        </w:tc>
        <w:tc>
          <w:tcPr>
            <w:tcW w:w="6706" w:type="dxa"/>
            <w:vAlign w:val="center"/>
          </w:tcPr>
          <w:p w14:paraId="21AB59BB" w14:textId="4C301BBD" w:rsidR="00AE719A" w:rsidRDefault="00AE719A" w:rsidP="00AE719A">
            <w:pPr>
              <w:spacing w:before="100" w:after="100"/>
            </w:pPr>
            <w:r>
              <w:t>N/A</w:t>
            </w:r>
          </w:p>
        </w:tc>
      </w:tr>
      <w:tr w:rsidR="00AE719A" w14:paraId="34A2BEBB" w14:textId="77777777" w:rsidTr="00E76C9A">
        <w:tc>
          <w:tcPr>
            <w:tcW w:w="3256" w:type="dxa"/>
            <w:vAlign w:val="center"/>
          </w:tcPr>
          <w:p w14:paraId="5D8CED71" w14:textId="47B9CCF8" w:rsidR="00AE719A" w:rsidRDefault="00AE719A" w:rsidP="00AE719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</w:tcPr>
          <w:p w14:paraId="131628A4" w14:textId="4E9F7F8B" w:rsidR="00AE719A" w:rsidRDefault="00AE719A" w:rsidP="00AE719A">
            <w:pPr>
              <w:rPr>
                <w:rFonts w:cs="Calibri"/>
                <w:szCs w:val="22"/>
              </w:rPr>
            </w:pPr>
            <w:r w:rsidRPr="00063451">
              <w:rPr>
                <w:rFonts w:cs="Calibri"/>
                <w:szCs w:val="22"/>
              </w:rPr>
              <w:t>To provide support to the</w:t>
            </w:r>
            <w:r w:rsidR="002C636C">
              <w:rPr>
                <w:rFonts w:cs="Calibri"/>
                <w:szCs w:val="22"/>
              </w:rPr>
              <w:t xml:space="preserve"> team and</w:t>
            </w:r>
            <w:r w:rsidRPr="00063451">
              <w:rPr>
                <w:rFonts w:cs="Calibri"/>
                <w:szCs w:val="22"/>
              </w:rPr>
              <w:t xml:space="preserve"> Payroll </w:t>
            </w:r>
            <w:r w:rsidR="002C636C">
              <w:rPr>
                <w:rFonts w:cs="Calibri"/>
                <w:szCs w:val="22"/>
              </w:rPr>
              <w:t>Manager</w:t>
            </w:r>
            <w:r>
              <w:rPr>
                <w:rFonts w:cs="Calibri"/>
                <w:szCs w:val="22"/>
              </w:rPr>
              <w:t xml:space="preserve"> in the end-to-end payroll delivery for the business, from collation of data to submission.</w:t>
            </w:r>
          </w:p>
          <w:p w14:paraId="5421D2F3" w14:textId="773D5C8E" w:rsidR="00AE719A" w:rsidRDefault="00AE719A" w:rsidP="00AE719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Working under the direction of the Payroll </w:t>
            </w:r>
            <w:r w:rsidR="002C636C">
              <w:rPr>
                <w:rFonts w:cs="Calibri"/>
                <w:szCs w:val="22"/>
              </w:rPr>
              <w:t>Manager</w:t>
            </w:r>
            <w:r>
              <w:rPr>
                <w:rFonts w:cs="Calibri"/>
                <w:szCs w:val="22"/>
              </w:rPr>
              <w:t xml:space="preserve">, to ensure each payroll is executed </w:t>
            </w:r>
            <w:r w:rsidRPr="001634F2">
              <w:rPr>
                <w:rFonts w:cs="Calibri"/>
                <w:szCs w:val="22"/>
              </w:rPr>
              <w:t>accurately and on time</w:t>
            </w:r>
            <w:r>
              <w:rPr>
                <w:rFonts w:cs="Calibri"/>
                <w:szCs w:val="22"/>
              </w:rPr>
              <w:t xml:space="preserve"> each month.</w:t>
            </w:r>
          </w:p>
          <w:p w14:paraId="0FD8C220" w14:textId="77777777" w:rsidR="00CC5ED6" w:rsidRDefault="00AE719A" w:rsidP="00CC5ED6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Supporting the Payroll </w:t>
            </w:r>
            <w:r w:rsidR="002C636C">
              <w:rPr>
                <w:rFonts w:cs="Calibri"/>
                <w:szCs w:val="22"/>
              </w:rPr>
              <w:t>Manager</w:t>
            </w:r>
            <w:r>
              <w:rPr>
                <w:rFonts w:cs="Calibri"/>
                <w:szCs w:val="22"/>
              </w:rPr>
              <w:t xml:space="preserve"> in liaising with employees regarding payroll related queries.</w:t>
            </w:r>
          </w:p>
          <w:p w14:paraId="027DF167" w14:textId="0644936F" w:rsidR="00AE719A" w:rsidRDefault="004847E4" w:rsidP="00CC5ED6">
            <w:r>
              <w:rPr>
                <w:rFonts w:cs="Calibri"/>
                <w:kern w:val="0"/>
              </w:rPr>
              <w:t>Acting as escalation point for the Payroll Assistant.</w:t>
            </w:r>
          </w:p>
        </w:tc>
      </w:tr>
      <w:tr w:rsidR="00AE719A" w14:paraId="3CFD1385" w14:textId="77777777" w:rsidTr="00F00BCB">
        <w:tc>
          <w:tcPr>
            <w:tcW w:w="3256" w:type="dxa"/>
            <w:vAlign w:val="center"/>
          </w:tcPr>
          <w:p w14:paraId="627BDC42" w14:textId="3DF91B23" w:rsidR="00AE719A" w:rsidRDefault="00AE719A" w:rsidP="00AE719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</w:tcPr>
          <w:p w14:paraId="72D61297" w14:textId="3331FD9A" w:rsidR="00CC5ED6" w:rsidRPr="00CC5ED6" w:rsidRDefault="00DC548B" w:rsidP="004847E4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>
              <w:rPr>
                <w:rFonts w:cs="Calibri"/>
                <w:szCs w:val="22"/>
              </w:rPr>
              <w:t>P</w:t>
            </w:r>
            <w:r w:rsidR="00AE719A" w:rsidRPr="00CC5ED6">
              <w:rPr>
                <w:rFonts w:cs="Calibri"/>
                <w:szCs w:val="22"/>
              </w:rPr>
              <w:t xml:space="preserve">reparation, </w:t>
            </w:r>
            <w:proofErr w:type="gramStart"/>
            <w:r w:rsidR="00AE719A" w:rsidRPr="00CC5ED6">
              <w:rPr>
                <w:rFonts w:cs="Calibri"/>
                <w:szCs w:val="22"/>
              </w:rPr>
              <w:t>processing</w:t>
            </w:r>
            <w:proofErr w:type="gramEnd"/>
            <w:r w:rsidR="00AE719A" w:rsidRPr="00CC5ED6">
              <w:rPr>
                <w:rFonts w:cs="Calibri"/>
                <w:szCs w:val="22"/>
              </w:rPr>
              <w:t xml:space="preserve"> and reconciliation of the monthly payrolls for over </w:t>
            </w:r>
            <w:r w:rsidR="004847E4" w:rsidRPr="00CC5ED6">
              <w:rPr>
                <w:rFonts w:cs="Calibri"/>
                <w:szCs w:val="22"/>
              </w:rPr>
              <w:t>1100</w:t>
            </w:r>
            <w:r w:rsidR="00AE719A" w:rsidRPr="00CC5ED6">
              <w:rPr>
                <w:rFonts w:cs="Calibri"/>
                <w:szCs w:val="22"/>
              </w:rPr>
              <w:t xml:space="preserve"> staff across three different payrolls (possibly more in the future)</w:t>
            </w:r>
          </w:p>
          <w:p w14:paraId="1258DC2B" w14:textId="77777777" w:rsidR="00CC5ED6" w:rsidRDefault="004847E4" w:rsidP="00CC5ED6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lang w:eastAsia="en-GB"/>
              </w:rPr>
              <w:t>Ensuring accurate inputting of all data for new starters, leavers, bonuses, overtime, sick and unpaid leave, childcare vouchers, travel allowance, pensions through comprehensive reconciliation process</w:t>
            </w:r>
          </w:p>
          <w:p w14:paraId="51C3066C" w14:textId="77777777" w:rsidR="00CC5ED6" w:rsidRDefault="004847E4" w:rsidP="00CC5ED6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lang w:eastAsia="en-GB"/>
              </w:rPr>
              <w:t>Liaising with HMRC, reconciliation of PAYE and approval for submission to HMRC by the bureau</w:t>
            </w:r>
          </w:p>
          <w:p w14:paraId="376F851E" w14:textId="77777777" w:rsidR="00CC5ED6" w:rsidRDefault="00CC5ED6" w:rsidP="00CC5ED6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lang w:eastAsia="en-GB"/>
              </w:rPr>
              <w:t>Undertake checking and approval of P45s and P46s for new joiners and timely turnaround of P45s to leavers</w:t>
            </w:r>
          </w:p>
          <w:p w14:paraId="624B4F1B" w14:textId="77777777" w:rsidR="00CC5ED6" w:rsidRDefault="00CC5ED6" w:rsidP="00AE719A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lang w:eastAsia="en-GB"/>
              </w:rPr>
              <w:t>Ensure all payroll queries are dealt with in line with SLAs</w:t>
            </w:r>
          </w:p>
          <w:p w14:paraId="27BEB331" w14:textId="2DD2C7A3" w:rsidR="00CC5ED6" w:rsidRPr="00CC5ED6" w:rsidRDefault="00AE719A" w:rsidP="00AE719A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rFonts w:cs="Calibri"/>
                <w:szCs w:val="22"/>
              </w:rPr>
              <w:t>Working closely with our payroll/pension providers</w:t>
            </w:r>
          </w:p>
          <w:p w14:paraId="6DA008AE" w14:textId="0A418578" w:rsidR="00CC5ED6" w:rsidRPr="00CC5ED6" w:rsidRDefault="00AE719A" w:rsidP="00AE719A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rFonts w:cs="Calibri"/>
                <w:szCs w:val="22"/>
              </w:rPr>
              <w:t xml:space="preserve">Assisting the Payroll </w:t>
            </w:r>
            <w:r w:rsidR="002C636C" w:rsidRPr="00CC5ED6">
              <w:rPr>
                <w:rFonts w:cs="Calibri"/>
                <w:szCs w:val="22"/>
              </w:rPr>
              <w:t>Manager</w:t>
            </w:r>
            <w:r w:rsidRPr="00CC5ED6">
              <w:rPr>
                <w:rFonts w:cs="Calibri"/>
                <w:szCs w:val="22"/>
              </w:rPr>
              <w:t xml:space="preserve"> in Tax Year End processes</w:t>
            </w:r>
          </w:p>
          <w:p w14:paraId="45097F8F" w14:textId="0EAA0A7D" w:rsidR="00CC5ED6" w:rsidRPr="00CC5ED6" w:rsidRDefault="00AE719A" w:rsidP="00AE719A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rFonts w:cs="Calibri"/>
                <w:szCs w:val="22"/>
              </w:rPr>
              <w:t xml:space="preserve">Dealing with payroll queries from </w:t>
            </w:r>
            <w:r w:rsidR="004847E4" w:rsidRPr="00CC5ED6">
              <w:rPr>
                <w:rFonts w:cs="Calibri"/>
                <w:szCs w:val="22"/>
              </w:rPr>
              <w:t xml:space="preserve">Payroll Assistant, </w:t>
            </w:r>
            <w:r w:rsidRPr="00CC5ED6">
              <w:rPr>
                <w:rFonts w:cs="Calibri"/>
                <w:szCs w:val="22"/>
              </w:rPr>
              <w:t>staff, managers and third parties</w:t>
            </w:r>
          </w:p>
          <w:p w14:paraId="0C246468" w14:textId="77777777" w:rsidR="00AE719A" w:rsidRPr="002D1F66" w:rsidRDefault="00AE719A" w:rsidP="00AE719A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 w:rsidRPr="00CC5ED6">
              <w:rPr>
                <w:rFonts w:cs="Calibri"/>
                <w:szCs w:val="22"/>
              </w:rPr>
              <w:t xml:space="preserve">Assisting the Payroll </w:t>
            </w:r>
            <w:r w:rsidR="002C636C" w:rsidRPr="00CC5ED6">
              <w:rPr>
                <w:rFonts w:cs="Calibri"/>
                <w:szCs w:val="22"/>
              </w:rPr>
              <w:t>Manager</w:t>
            </w:r>
            <w:r w:rsidRPr="00CC5ED6">
              <w:rPr>
                <w:rFonts w:cs="Calibri"/>
                <w:szCs w:val="22"/>
              </w:rPr>
              <w:t xml:space="preserve"> in the processing of yearly Basic Earnings Assessments</w:t>
            </w:r>
            <w:bookmarkStart w:id="1" w:name="_Hlk87609668"/>
          </w:p>
          <w:p w14:paraId="0F8DEC55" w14:textId="77777777" w:rsidR="002D1F66" w:rsidRPr="007603C0" w:rsidRDefault="002D1F66" w:rsidP="00AE719A">
            <w:pPr>
              <w:pStyle w:val="ListParagraph"/>
              <w:numPr>
                <w:ilvl w:val="0"/>
                <w:numId w:val="48"/>
              </w:numPr>
              <w:rPr>
                <w:lang w:eastAsia="en-GB"/>
              </w:rPr>
            </w:pPr>
            <w:r>
              <w:rPr>
                <w:rFonts w:cs="Calibri"/>
                <w:szCs w:val="22"/>
                <w:lang w:eastAsia="en-GB"/>
              </w:rPr>
              <w:t xml:space="preserve">Assisting with any training required by Payroll Assistant </w:t>
            </w:r>
            <w:bookmarkEnd w:id="1"/>
          </w:p>
          <w:p w14:paraId="071874AD" w14:textId="77777777" w:rsidR="007603C0" w:rsidRDefault="007603C0" w:rsidP="007603C0">
            <w:pPr>
              <w:rPr>
                <w:lang w:eastAsia="en-GB"/>
              </w:rPr>
            </w:pPr>
          </w:p>
          <w:p w14:paraId="47B35464" w14:textId="453DF07B" w:rsidR="007603C0" w:rsidRDefault="007603C0" w:rsidP="007603C0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743F7E4A" w14:textId="77777777" w:rsidR="007603C0" w:rsidRDefault="007603C0" w:rsidP="007603C0">
            <w:pPr>
              <w:rPr>
                <w:b/>
                <w:bCs/>
              </w:rPr>
            </w:pPr>
          </w:p>
          <w:p w14:paraId="45B96AA7" w14:textId="42DCD465" w:rsidR="007603C0" w:rsidRDefault="007603C0" w:rsidP="007603C0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CCCF5BE" w14:textId="77777777" w:rsidR="007603C0" w:rsidRDefault="007603C0" w:rsidP="007603C0"/>
          <w:p w14:paraId="753D58D7" w14:textId="77777777" w:rsidR="007603C0" w:rsidRDefault="007603C0" w:rsidP="007603C0">
            <w:pPr>
              <w:pStyle w:val="BulletListDense"/>
            </w:pPr>
            <w:r>
              <w:t>Be aware of the impact of your behaviour on others</w:t>
            </w:r>
          </w:p>
          <w:p w14:paraId="4D861795" w14:textId="77777777" w:rsidR="007603C0" w:rsidRDefault="007603C0" w:rsidP="007603C0">
            <w:pPr>
              <w:pStyle w:val="BulletListDense"/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2C438320" w14:textId="77777777" w:rsidR="007603C0" w:rsidRDefault="007603C0" w:rsidP="007603C0">
            <w:pPr>
              <w:pStyle w:val="BulletListDense"/>
            </w:pPr>
            <w:r>
              <w:t>Maintain and develop your knowledge about what EDI is and why it is important</w:t>
            </w:r>
          </w:p>
          <w:p w14:paraId="350A2DDB" w14:textId="77777777" w:rsidR="007603C0" w:rsidRDefault="007603C0" w:rsidP="007603C0">
            <w:pPr>
              <w:pStyle w:val="BulletListDense"/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628DEC1E" w14:textId="77777777" w:rsidR="007603C0" w:rsidRDefault="007603C0" w:rsidP="007603C0">
            <w:pPr>
              <w:pStyle w:val="BulletListDense"/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79A838A0" w14:textId="77777777" w:rsidR="007603C0" w:rsidRDefault="007603C0" w:rsidP="007603C0">
            <w:pPr>
              <w:pStyle w:val="BulletListDense"/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61CF1DC5" w14:textId="77777777" w:rsidR="007603C0" w:rsidRDefault="007603C0" w:rsidP="007603C0">
            <w:pPr>
              <w:rPr>
                <w:lang w:eastAsia="en-GB"/>
              </w:rPr>
            </w:pPr>
          </w:p>
          <w:p w14:paraId="1AAD2EF0" w14:textId="77777777" w:rsidR="007603C0" w:rsidRDefault="007603C0" w:rsidP="007603C0">
            <w:pPr>
              <w:rPr>
                <w:lang w:eastAsia="en-GB"/>
              </w:rPr>
            </w:pPr>
          </w:p>
          <w:p w14:paraId="57354671" w14:textId="77777777" w:rsidR="007603C0" w:rsidRDefault="007603C0" w:rsidP="007603C0">
            <w:pPr>
              <w:rPr>
                <w:lang w:eastAsia="en-GB"/>
              </w:rPr>
            </w:pPr>
          </w:p>
          <w:p w14:paraId="44BDB607" w14:textId="00EE7619" w:rsidR="007603C0" w:rsidRPr="007603C0" w:rsidRDefault="007603C0" w:rsidP="007603C0">
            <w:pPr>
              <w:rPr>
                <w:lang w:eastAsia="en-GB"/>
              </w:rPr>
            </w:pPr>
          </w:p>
        </w:tc>
      </w:tr>
      <w:tr w:rsidR="00AE719A" w14:paraId="01882A7A" w14:textId="77777777" w:rsidTr="00966F66">
        <w:tc>
          <w:tcPr>
            <w:tcW w:w="3256" w:type="dxa"/>
            <w:vAlign w:val="center"/>
          </w:tcPr>
          <w:p w14:paraId="53E29B26" w14:textId="719A3D50" w:rsidR="00AE719A" w:rsidRDefault="00AE719A" w:rsidP="00AE719A">
            <w:pPr>
              <w:spacing w:before="100" w:after="100"/>
            </w:pPr>
            <w:r>
              <w:lastRenderedPageBreak/>
              <w:t>Clinical Governance:</w:t>
            </w:r>
          </w:p>
        </w:tc>
        <w:tc>
          <w:tcPr>
            <w:tcW w:w="6706" w:type="dxa"/>
            <w:vAlign w:val="center"/>
          </w:tcPr>
          <w:p w14:paraId="3766E5BC" w14:textId="0084FF53" w:rsidR="00AE719A" w:rsidRDefault="00AE719A" w:rsidP="00AE719A">
            <w:pPr>
              <w:spacing w:before="100" w:after="100"/>
            </w:pPr>
            <w:r>
              <w:t>N/A</w:t>
            </w:r>
          </w:p>
        </w:tc>
      </w:tr>
      <w:tr w:rsidR="00AE719A" w14:paraId="3161C07B" w14:textId="77777777" w:rsidTr="00966F66">
        <w:tc>
          <w:tcPr>
            <w:tcW w:w="3256" w:type="dxa"/>
            <w:vAlign w:val="center"/>
          </w:tcPr>
          <w:p w14:paraId="5FD2413E" w14:textId="7A534F40" w:rsidR="00AE719A" w:rsidRDefault="00AE719A" w:rsidP="00AE719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9A92F3B" w:rsidR="00AE719A" w:rsidRDefault="00AE719A" w:rsidP="00AE719A">
            <w:pPr>
              <w:spacing w:before="100" w:after="100"/>
            </w:pPr>
          </w:p>
        </w:tc>
      </w:tr>
      <w:tr w:rsidR="00AE719A" w14:paraId="4004EF95" w14:textId="77777777" w:rsidTr="00966F66">
        <w:tc>
          <w:tcPr>
            <w:tcW w:w="3256" w:type="dxa"/>
            <w:vAlign w:val="center"/>
          </w:tcPr>
          <w:p w14:paraId="0E220621" w14:textId="69144CB3" w:rsidR="00AE719A" w:rsidRDefault="00AE719A" w:rsidP="00AE719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56A34ABF" w:rsidR="00AE719A" w:rsidRPr="00966F66" w:rsidRDefault="00AE719A" w:rsidP="00AE719A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Occasional</w:t>
            </w:r>
            <w:r w:rsidRPr="00194432">
              <w:rPr>
                <w:color w:val="000000"/>
              </w:rPr>
              <w:t xml:space="preserve"> travel including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452F1239" w:rsidR="00966F66" w:rsidRDefault="00966F66" w:rsidP="00032FCD">
      <w:pPr>
        <w:spacing w:after="200"/>
      </w:pPr>
      <w:r>
        <w:br w:type="page"/>
      </w:r>
      <w:r>
        <w:lastRenderedPageBreak/>
        <w:t>Person specification</w:t>
      </w: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4598C26C" w:rsidR="00966F66" w:rsidRP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GCSE Maths (or equivalent)</w:t>
            </w:r>
          </w:p>
        </w:tc>
        <w:tc>
          <w:tcPr>
            <w:tcW w:w="3728" w:type="dxa"/>
          </w:tcPr>
          <w:p w14:paraId="249563A3" w14:textId="0494AFC3" w:rsidR="00AE719A" w:rsidRPr="00966F66" w:rsidRDefault="00AE719A" w:rsidP="00AE719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CIPP qualification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CD1F36C" w14:textId="77777777" w:rsid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Payroll</w:t>
            </w:r>
          </w:p>
          <w:p w14:paraId="3B562B01" w14:textId="36499842" w:rsidR="00AE719A" w:rsidRP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Manual Payment Calculations (Tax, NIC, Student Loans, Pensions)</w:t>
            </w:r>
          </w:p>
        </w:tc>
        <w:tc>
          <w:tcPr>
            <w:tcW w:w="3728" w:type="dxa"/>
          </w:tcPr>
          <w:p w14:paraId="73BCA857" w14:textId="04801703" w:rsidR="00966F66" w:rsidRP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NHS Pensions and T&amp;Cs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884FBC2" w14:textId="77777777" w:rsid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Strong Mathematical Skills</w:t>
            </w:r>
          </w:p>
          <w:p w14:paraId="76B1A4A8" w14:textId="77777777" w:rsidR="00AE719A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Payroll Databases</w:t>
            </w:r>
          </w:p>
          <w:p w14:paraId="5D44F6D3" w14:textId="77777777" w:rsidR="00AE719A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Microsoft Office (specifically Word, </w:t>
            </w:r>
            <w:proofErr w:type="gramStart"/>
            <w:r>
              <w:rPr>
                <w:rFonts w:cs="Calibri"/>
                <w:szCs w:val="22"/>
              </w:rPr>
              <w:t>Outlook</w:t>
            </w:r>
            <w:proofErr w:type="gramEnd"/>
            <w:r>
              <w:rPr>
                <w:rFonts w:cs="Calibri"/>
                <w:szCs w:val="22"/>
              </w:rPr>
              <w:t xml:space="preserve"> and Excel)</w:t>
            </w:r>
          </w:p>
          <w:p w14:paraId="56CB44D9" w14:textId="77777777" w:rsidR="00AE719A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Ability to maintain confidentiality</w:t>
            </w:r>
          </w:p>
          <w:p w14:paraId="2F77305B" w14:textId="76DFB2DC" w:rsidR="00AE719A" w:rsidRP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Excellent customer service/communication skills</w:t>
            </w:r>
          </w:p>
        </w:tc>
        <w:tc>
          <w:tcPr>
            <w:tcW w:w="3728" w:type="dxa"/>
          </w:tcPr>
          <w:p w14:paraId="0A86D72C" w14:textId="7E5AF449" w:rsidR="00966F66" w:rsidRP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HR Databases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AB1F4F5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High level of enthusiasm and motivation</w:t>
            </w:r>
          </w:p>
          <w:p w14:paraId="3A007E26" w14:textId="431B0B5C" w:rsid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171BA496" w14:textId="1307443D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 xml:space="preserve">Ability to </w:t>
            </w:r>
            <w:r w:rsidR="00AE719A">
              <w:rPr>
                <w:rFonts w:cs="Calibri"/>
                <w:szCs w:val="22"/>
              </w:rPr>
              <w:t>remain calm</w:t>
            </w:r>
            <w:r w:rsidRPr="00966F66">
              <w:rPr>
                <w:rFonts w:cs="Calibri"/>
                <w:szCs w:val="22"/>
              </w:rPr>
              <w:t xml:space="preserve"> under pressure</w:t>
            </w:r>
          </w:p>
          <w:p w14:paraId="64E37EB4" w14:textId="77777777" w:rsid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time management skills</w:t>
            </w:r>
          </w:p>
          <w:p w14:paraId="3D2F7BD5" w14:textId="77777777" w:rsidR="00AE719A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Highly organised</w:t>
            </w:r>
          </w:p>
          <w:p w14:paraId="21FB89F2" w14:textId="20395262" w:rsidR="00AE719A" w:rsidRPr="00966F66" w:rsidRDefault="00AE7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 flexible and open-minded approach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30A17578" w14:textId="40920B87" w:rsidR="00522685" w:rsidRDefault="00966F66" w:rsidP="00AE719A">
      <w:r>
        <w:br w:type="page"/>
      </w:r>
      <w:r w:rsidR="00522685"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547F84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BBFAA00" w:rsidR="00AD6216" w:rsidRPr="00B8707C" w:rsidRDefault="00966F66" w:rsidP="00ED1083">
                <w:pPr>
                  <w:pStyle w:val="PROPERTIESBOX"/>
                </w:pPr>
                <w:r>
                  <w:t>V1.</w:t>
                </w:r>
                <w:r w:rsidR="00032FCD">
                  <w:t>2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2" w:name="_Hlk527360505"/>
        <w:tc>
          <w:tcPr>
            <w:tcW w:w="1086" w:type="pct"/>
          </w:tcPr>
          <w:p w14:paraId="6AA0B98B" w14:textId="7371E6BD" w:rsidR="00AD6216" w:rsidRPr="00B8707C" w:rsidRDefault="00547F84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0-08-0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32FCD">
                  <w:t>06/08/2020</w:t>
                </w:r>
              </w:sdtContent>
            </w:sdt>
            <w:bookmarkEnd w:id="2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42724EA6" w:rsidR="00AD6216" w:rsidRPr="00B8707C" w:rsidRDefault="00547F84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032FCD">
                  <w:t xml:space="preserve">     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"/>
        <w:gridCol w:w="1144"/>
        <w:gridCol w:w="7840"/>
      </w:tblGrid>
      <w:tr w:rsidR="00F63E60" w14:paraId="0A14A006" w14:textId="77777777" w:rsidTr="00D97EA9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574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3935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D97EA9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574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3935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D97EA9">
        <w:trPr>
          <w:trHeight w:val="254"/>
          <w:jc w:val="center"/>
        </w:trPr>
        <w:tc>
          <w:tcPr>
            <w:tcW w:w="491" w:type="pct"/>
          </w:tcPr>
          <w:p w14:paraId="273CC272" w14:textId="3E5F634F" w:rsidR="00F63E60" w:rsidRPr="00032FCD" w:rsidRDefault="000A4D46" w:rsidP="002A6CAF">
            <w:pPr>
              <w:pStyle w:val="PROPERTIESBOX"/>
            </w:pPr>
            <w:r w:rsidRPr="00032FCD">
              <w:t>V1.2</w:t>
            </w:r>
          </w:p>
        </w:tc>
        <w:tc>
          <w:tcPr>
            <w:tcW w:w="574" w:type="pct"/>
          </w:tcPr>
          <w:p w14:paraId="60FC63B5" w14:textId="7955177C" w:rsidR="00F63E60" w:rsidRPr="00032FCD" w:rsidRDefault="000A4D46" w:rsidP="002A6CAF">
            <w:pPr>
              <w:pStyle w:val="PROPERTIESBOX"/>
            </w:pPr>
            <w:r w:rsidRPr="00032FCD">
              <w:t>06.08.20</w:t>
            </w:r>
          </w:p>
        </w:tc>
        <w:tc>
          <w:tcPr>
            <w:tcW w:w="3935" w:type="pct"/>
          </w:tcPr>
          <w:p w14:paraId="4D89FDDB" w14:textId="5145DFFB" w:rsidR="000A4D46" w:rsidRPr="00032FCD" w:rsidRDefault="000A4D46" w:rsidP="002A6CAF">
            <w:pPr>
              <w:pStyle w:val="PROPERTIESBOX"/>
            </w:pPr>
            <w:r w:rsidRPr="00032FCD">
              <w:t>Updated to include diversity and inclusion statement</w:t>
            </w:r>
          </w:p>
        </w:tc>
      </w:tr>
      <w:tr w:rsidR="00F63E60" w14:paraId="20C3942A" w14:textId="77777777" w:rsidTr="00D97EA9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574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3935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1124" w14:textId="77777777" w:rsidR="006812F1" w:rsidRDefault="006812F1" w:rsidP="00A96CB2">
      <w:r>
        <w:separator/>
      </w:r>
    </w:p>
  </w:endnote>
  <w:endnote w:type="continuationSeparator" w:id="0">
    <w:p w14:paraId="0C4DE2D1" w14:textId="77777777" w:rsidR="006812F1" w:rsidRDefault="006812F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B341" w14:textId="77777777" w:rsidR="006812F1" w:rsidRDefault="006812F1" w:rsidP="00A96CB2">
      <w:r>
        <w:separator/>
      </w:r>
    </w:p>
  </w:footnote>
  <w:footnote w:type="continuationSeparator" w:id="0">
    <w:p w14:paraId="7F678730" w14:textId="77777777" w:rsidR="006812F1" w:rsidRDefault="006812F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B577C0E" w:rsidR="005E1013" w:rsidRPr="004A6AA8" w:rsidRDefault="00547F84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032FCD">
                                <w:t xml:space="preserve">     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07341">
                                <w:t>Payroll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032FCD">
                                <w:t>V1.2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8-06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2FCD">
                                <w:t>06/08/2020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2B577C0E" w:rsidR="005E1013" w:rsidRPr="004A6AA8" w:rsidRDefault="00547F8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032FCD">
                          <w:t xml:space="preserve">     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07341">
                          <w:t>Payroll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032FCD">
                          <w:t>V1.2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8-06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32FCD">
                          <w:t>06/08/2020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486F5BE" w:rsidR="00AD6216" w:rsidRPr="004A6AA8" w:rsidRDefault="00547F84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032FCD">
                                <w:t xml:space="preserve">     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07341">
                                <w:t>Payroll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032FCD">
                                <w:t>V1.2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486F5BE" w:rsidR="00AD6216" w:rsidRPr="004A6AA8" w:rsidRDefault="00547F8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032FCD">
                          <w:t xml:space="preserve">     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07341">
                          <w:t>Payroll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032FCD">
                          <w:t>V1.2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AEF4C7C"/>
    <w:multiLevelType w:val="hybridMultilevel"/>
    <w:tmpl w:val="0688E0DA"/>
    <w:lvl w:ilvl="0" w:tplc="6316D51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24CA0"/>
    <w:multiLevelType w:val="hybridMultilevel"/>
    <w:tmpl w:val="AD4A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544BE5"/>
    <w:multiLevelType w:val="multilevel"/>
    <w:tmpl w:val="0409001D"/>
    <w:numStyleLink w:val="MedianListStyle"/>
  </w:abstractNum>
  <w:abstractNum w:abstractNumId="24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5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9"/>
  </w:num>
  <w:num w:numId="25">
    <w:abstractNumId w:val="18"/>
  </w:num>
  <w:num w:numId="26">
    <w:abstractNumId w:val="29"/>
  </w:num>
  <w:num w:numId="27">
    <w:abstractNumId w:val="8"/>
  </w:num>
  <w:num w:numId="28">
    <w:abstractNumId w:val="10"/>
  </w:num>
  <w:num w:numId="29">
    <w:abstractNumId w:val="30"/>
  </w:num>
  <w:num w:numId="30">
    <w:abstractNumId w:val="20"/>
  </w:num>
  <w:num w:numId="31">
    <w:abstractNumId w:val="25"/>
  </w:num>
  <w:num w:numId="32">
    <w:abstractNumId w:val="12"/>
  </w:num>
  <w:num w:numId="33">
    <w:abstractNumId w:val="23"/>
  </w:num>
  <w:num w:numId="34">
    <w:abstractNumId w:val="27"/>
  </w:num>
  <w:num w:numId="35">
    <w:abstractNumId w:val="24"/>
  </w:num>
  <w:num w:numId="36">
    <w:abstractNumId w:val="26"/>
  </w:num>
  <w:num w:numId="37">
    <w:abstractNumId w:val="27"/>
  </w:num>
  <w:num w:numId="38">
    <w:abstractNumId w:val="31"/>
  </w:num>
  <w:num w:numId="39">
    <w:abstractNumId w:val="7"/>
  </w:num>
  <w:num w:numId="40">
    <w:abstractNumId w:val="6"/>
  </w:num>
  <w:num w:numId="41">
    <w:abstractNumId w:val="5"/>
  </w:num>
  <w:num w:numId="42">
    <w:abstractNumId w:val="14"/>
  </w:num>
  <w:num w:numId="43">
    <w:abstractNumId w:val="19"/>
  </w:num>
  <w:num w:numId="44">
    <w:abstractNumId w:val="11"/>
  </w:num>
  <w:num w:numId="45">
    <w:abstractNumId w:val="22"/>
  </w:num>
  <w:num w:numId="46">
    <w:abstractNumId w:val="13"/>
  </w:num>
  <w:num w:numId="47">
    <w:abstractNumId w:val="28"/>
  </w:num>
  <w:num w:numId="48">
    <w:abstractNumId w:val="1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2FCD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A4D46"/>
    <w:rsid w:val="000B543A"/>
    <w:rsid w:val="000C22EE"/>
    <w:rsid w:val="000D4119"/>
    <w:rsid w:val="000E7547"/>
    <w:rsid w:val="000F1424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C636C"/>
    <w:rsid w:val="002D1F66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4D88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7E4"/>
    <w:rsid w:val="00484AE6"/>
    <w:rsid w:val="004B0D6E"/>
    <w:rsid w:val="004B4C16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47F84"/>
    <w:rsid w:val="0055685A"/>
    <w:rsid w:val="00556A5E"/>
    <w:rsid w:val="00557C5F"/>
    <w:rsid w:val="005750BA"/>
    <w:rsid w:val="005775F8"/>
    <w:rsid w:val="00580E84"/>
    <w:rsid w:val="005830C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2F1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603C0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07341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B4514"/>
    <w:rsid w:val="00AC21A4"/>
    <w:rsid w:val="00AC76FA"/>
    <w:rsid w:val="00AD1C29"/>
    <w:rsid w:val="00AD6216"/>
    <w:rsid w:val="00AE719A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C5ED6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97EA9"/>
    <w:rsid w:val="00DA12CF"/>
    <w:rsid w:val="00DC548B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21BF1"/>
    <w:rsid w:val="004F0622"/>
    <w:rsid w:val="00B062AC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2020-08-06T00:00:00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579</Words>
  <Characters>3304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Advisor</vt:lpstr>
    </vt:vector>
  </TitlesOfParts>
  <Manager>Human Resources</Manager>
  <Company>RehabWorks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Advisor</dc:title>
  <dc:subject>Enter Sub-Title Of Policy</dc:subject>
  <dc:creator>Human Resources</dc:creator>
  <cp:keywords/>
  <dc:description>V1.2</dc:description>
  <cp:lastModifiedBy>Emma Nealgrove</cp:lastModifiedBy>
  <cp:revision>2</cp:revision>
  <cp:lastPrinted>2018-03-16T13:36:00Z</cp:lastPrinted>
  <dcterms:created xsi:type="dcterms:W3CDTF">2021-11-16T17:05:00Z</dcterms:created>
  <dcterms:modified xsi:type="dcterms:W3CDTF">2021-11-16T17:05:00Z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