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0F7AEC" w:rsidR="005E1013" w:rsidRDefault="00A969A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B3BDD">
            <w:rPr>
              <w:rStyle w:val="TitleChar"/>
            </w:rPr>
            <w:t>Psychotherapist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562CA4B" w:rsidR="009F68CA" w:rsidRDefault="00BB3BDD" w:rsidP="009F68CA">
            <w:pPr>
              <w:spacing w:before="100" w:after="100"/>
            </w:pPr>
            <w:r>
              <w:t>Psychotherapist</w:t>
            </w:r>
            <w:r w:rsidR="000B75B8">
              <w:t xml:space="preserve"> </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8AA2A9F" w:rsidR="009F68CA" w:rsidRDefault="00031EE5" w:rsidP="009F68CA">
            <w:pPr>
              <w:spacing w:before="100" w:after="100"/>
            </w:pPr>
            <w:r>
              <w:t>Corporate</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539FC08" w:rsidR="009F68CA" w:rsidRDefault="000B75B8" w:rsidP="009F68CA">
            <w:pPr>
              <w:spacing w:before="100" w:after="100"/>
            </w:pPr>
            <w:r>
              <w:t>Network</w:t>
            </w:r>
            <w:r w:rsidR="002943F5">
              <w:t>: Face to Face and Remote clinic</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C6A9CB8" w:rsidR="009F68CA" w:rsidRDefault="000B75B8" w:rsidP="009F68CA">
            <w:pPr>
              <w:spacing w:before="100" w:after="100"/>
            </w:pPr>
            <w:r>
              <w:t>N/A</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69186904" w:rsidR="009F68CA" w:rsidRDefault="000C423F" w:rsidP="009F68CA">
            <w:pPr>
              <w:spacing w:before="100" w:after="100"/>
            </w:pPr>
            <w:r>
              <w:t>N/A</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DFAFEE2" w14:textId="315CD5F9" w:rsidR="009F68CA" w:rsidRDefault="000C423F" w:rsidP="009F68CA">
            <w:pPr>
              <w:spacing w:before="100" w:after="100"/>
            </w:pPr>
            <w:r>
              <w:t>N/A</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21AB59BB" w14:textId="5CF206AB" w:rsidR="009F68CA" w:rsidRDefault="000B75B8" w:rsidP="009F68CA">
            <w:pPr>
              <w:spacing w:before="100" w:after="100"/>
            </w:pPr>
            <w:r>
              <w:t>N/A</w:t>
            </w:r>
            <w:r w:rsidR="002C5CFB">
              <w:t xml:space="preserve"> </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0B97D932" w:rsidR="009F68CA" w:rsidRPr="006155FC" w:rsidRDefault="006155FC" w:rsidP="006155FC">
            <w:pPr>
              <w:spacing w:before="100" w:after="100"/>
              <w:rPr>
                <w:rFonts w:cs="Calibri"/>
                <w:szCs w:val="22"/>
              </w:rPr>
            </w:pPr>
            <w:r w:rsidRPr="006155FC">
              <w:rPr>
                <w:rFonts w:cs="Calibri"/>
                <w:szCs w:val="22"/>
              </w:rPr>
              <w:t xml:space="preserve">To </w:t>
            </w:r>
            <w:r w:rsidR="006C14D9">
              <w:rPr>
                <w:rFonts w:cs="Calibri"/>
                <w:szCs w:val="22"/>
              </w:rPr>
              <w:t xml:space="preserve">provide </w:t>
            </w:r>
            <w:r w:rsidR="00A969AD">
              <w:rPr>
                <w:rFonts w:cs="Calibri"/>
                <w:szCs w:val="22"/>
              </w:rPr>
              <w:t>assessments for and p</w:t>
            </w:r>
            <w:r w:rsidR="00BB3BDD">
              <w:rPr>
                <w:rFonts w:cs="Calibri"/>
                <w:szCs w:val="22"/>
              </w:rPr>
              <w:t>sychotherapy</w:t>
            </w:r>
            <w:r w:rsidR="006C14D9">
              <w:rPr>
                <w:rFonts w:cs="Calibri"/>
                <w:szCs w:val="22"/>
              </w:rPr>
              <w:t xml:space="preserve"> to VHG clients via our clinical network </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906A17D" w14:textId="77777777" w:rsidR="006155FC" w:rsidRDefault="006155FC" w:rsidP="006155FC">
            <w:pPr>
              <w:pStyle w:val="BulletListDense"/>
              <w:numPr>
                <w:ilvl w:val="0"/>
                <w:numId w:val="0"/>
              </w:numPr>
              <w:ind w:left="853"/>
            </w:pPr>
          </w:p>
          <w:p w14:paraId="375EF2FF" w14:textId="6F8BD753" w:rsidR="004117C0" w:rsidRPr="004117C0" w:rsidRDefault="00A969AD" w:rsidP="00DB4575">
            <w:pPr>
              <w:pStyle w:val="BulletListDense"/>
            </w:pPr>
            <w:r>
              <w:rPr>
                <w:color w:val="000000"/>
                <w:lang w:eastAsia="en-GB"/>
              </w:rPr>
              <w:t>Assessment of</w:t>
            </w:r>
            <w:r w:rsidR="00A533BE" w:rsidRPr="00A533BE">
              <w:rPr>
                <w:color w:val="000000"/>
                <w:lang w:eastAsia="en-GB"/>
              </w:rPr>
              <w:t xml:space="preserve"> patients for individual psychotherapy</w:t>
            </w:r>
          </w:p>
          <w:p w14:paraId="745597A8" w14:textId="26C51867" w:rsidR="004117C0" w:rsidRDefault="004117C0" w:rsidP="004117C0">
            <w:pPr>
              <w:pStyle w:val="BulletListDense"/>
            </w:pPr>
            <w:r>
              <w:rPr>
                <w:lang w:eastAsia="en-GB"/>
              </w:rPr>
              <w:t>Using</w:t>
            </w:r>
            <w:r w:rsidRPr="00A533BE">
              <w:rPr>
                <w:lang w:eastAsia="en-GB"/>
              </w:rPr>
              <w:t xml:space="preserve"> </w:t>
            </w:r>
            <w:r w:rsidR="00A969AD">
              <w:rPr>
                <w:lang w:eastAsia="en-GB"/>
              </w:rPr>
              <w:t xml:space="preserve">a </w:t>
            </w:r>
            <w:r w:rsidRPr="00A533BE">
              <w:rPr>
                <w:lang w:eastAsia="en-GB"/>
              </w:rPr>
              <w:t>range of theoretical models and a clinical formulation</w:t>
            </w:r>
            <w:r w:rsidR="00A969AD">
              <w:rPr>
                <w:lang w:eastAsia="en-GB"/>
              </w:rPr>
              <w:t xml:space="preserve"> to</w:t>
            </w:r>
            <w:r w:rsidRPr="00A533BE">
              <w:rPr>
                <w:lang w:eastAsia="en-GB"/>
              </w:rPr>
              <w:t xml:space="preserve"> make recommendations for a treatment plan, including brief interventions and long-term work.</w:t>
            </w:r>
          </w:p>
          <w:p w14:paraId="0477E7CE" w14:textId="714AC6FE" w:rsidR="00E54411" w:rsidRDefault="0039454F" w:rsidP="00DB4575">
            <w:pPr>
              <w:pStyle w:val="BulletListDense"/>
            </w:pPr>
            <w:r>
              <w:t>Risk management, risk assessment and MDT working where required</w:t>
            </w:r>
          </w:p>
          <w:p w14:paraId="20516393" w14:textId="17C7D6B9" w:rsidR="002943F5" w:rsidRDefault="002943F5" w:rsidP="00DB4575">
            <w:pPr>
              <w:pStyle w:val="BulletListDense"/>
            </w:pPr>
            <w:r>
              <w:t>Provid</w:t>
            </w:r>
            <w:r w:rsidR="00A969AD">
              <w:t>ing</w:t>
            </w:r>
            <w:r>
              <w:t xml:space="preserve"> remote sessions via video/phone</w:t>
            </w:r>
          </w:p>
          <w:p w14:paraId="6696B460" w14:textId="62C453E3" w:rsidR="002943F5" w:rsidRDefault="00E54411" w:rsidP="00DB4575">
            <w:pPr>
              <w:pStyle w:val="BulletListDense"/>
            </w:pPr>
            <w:r>
              <w:t xml:space="preserve">Face to face sessions highly desirable </w:t>
            </w:r>
          </w:p>
          <w:p w14:paraId="20D31D82" w14:textId="60077063" w:rsidR="00E54411" w:rsidRDefault="00015462" w:rsidP="00DB4575">
            <w:pPr>
              <w:pStyle w:val="BulletListDense"/>
            </w:pPr>
            <w:r>
              <w:t xml:space="preserve">Evidenced regular supervision </w:t>
            </w:r>
          </w:p>
          <w:p w14:paraId="216A1ECD" w14:textId="77777777" w:rsidR="00A72ECC" w:rsidRDefault="00A72ECC" w:rsidP="00A72ECC">
            <w:pPr>
              <w:rPr>
                <w:b/>
                <w:bCs/>
              </w:rPr>
            </w:pPr>
          </w:p>
          <w:p w14:paraId="243F3E54" w14:textId="77777777" w:rsidR="00996812" w:rsidRDefault="00996812" w:rsidP="00A72ECC">
            <w:pPr>
              <w:rPr>
                <w:b/>
                <w:bCs/>
              </w:rPr>
            </w:pPr>
          </w:p>
          <w:p w14:paraId="6BE32BC9" w14:textId="178CDC05" w:rsidR="00A72ECC" w:rsidRDefault="00A72ECC" w:rsidP="00A72ECC">
            <w:pPr>
              <w:rPr>
                <w:b/>
                <w:bCs/>
              </w:rPr>
            </w:pPr>
            <w:r w:rsidRPr="0033722F">
              <w:rPr>
                <w:b/>
                <w:bCs/>
              </w:rPr>
              <w:t>Equality Diversity &amp; Inclusion (EDI)</w:t>
            </w:r>
          </w:p>
          <w:p w14:paraId="11E176E6" w14:textId="77777777" w:rsidR="00A72ECC" w:rsidRDefault="00A72ECC" w:rsidP="00A72ECC">
            <w:pPr>
              <w:rPr>
                <w:b/>
                <w:bCs/>
              </w:rPr>
            </w:pPr>
          </w:p>
          <w:p w14:paraId="0513A49A" w14:textId="6027E368" w:rsidR="00A72ECC" w:rsidRDefault="00A72ECC" w:rsidP="00A72ECC">
            <w:r>
              <w:lastRenderedPageBreak/>
              <w:t>We are proud to be an equal opportunities employer and are fully committed to EDI best practice in all we do.  We believe it is the responsibility of everyone to ensure their actions support this with all internal and external stakeholders.</w:t>
            </w:r>
          </w:p>
          <w:p w14:paraId="754BE3EC" w14:textId="77777777" w:rsidR="00A72ECC" w:rsidRDefault="00A72ECC" w:rsidP="00A72ECC"/>
          <w:p w14:paraId="5D9E4EAF" w14:textId="77777777" w:rsidR="00A72ECC" w:rsidRDefault="00A72ECC" w:rsidP="00A72ECC">
            <w:pPr>
              <w:pStyle w:val="BulletListDense"/>
            </w:pPr>
            <w:r>
              <w:t>Be aware of the impact of your behaviour on others</w:t>
            </w:r>
          </w:p>
          <w:p w14:paraId="1D3D65E5" w14:textId="77777777" w:rsidR="00A72ECC" w:rsidRDefault="00A72ECC" w:rsidP="00A72ECC">
            <w:pPr>
              <w:pStyle w:val="BulletListDense"/>
            </w:pPr>
            <w:r>
              <w:t xml:space="preserve">Ensure that others are treated with fairness, </w:t>
            </w:r>
            <w:proofErr w:type="gramStart"/>
            <w:r>
              <w:t>dignity</w:t>
            </w:r>
            <w:proofErr w:type="gramEnd"/>
            <w:r>
              <w:t xml:space="preserve"> and respect</w:t>
            </w:r>
          </w:p>
          <w:p w14:paraId="577ABF42" w14:textId="77777777" w:rsidR="00A72ECC" w:rsidRDefault="00A72ECC" w:rsidP="00A72ECC">
            <w:pPr>
              <w:pStyle w:val="BulletListDense"/>
            </w:pPr>
            <w:r>
              <w:t>Maintain and develop your knowledge about what EDI is and why it is important</w:t>
            </w:r>
          </w:p>
          <w:p w14:paraId="1B08223E" w14:textId="77777777" w:rsidR="00A72ECC" w:rsidRDefault="00A72ECC" w:rsidP="00A72ECC">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22166125" w14:textId="77777777" w:rsidR="00A72ECC" w:rsidRDefault="00A72ECC" w:rsidP="00A72ECC">
            <w:pPr>
              <w:pStyle w:val="BulletListDense"/>
            </w:pPr>
            <w:r>
              <w:t xml:space="preserve">Encourage and support others to feel confident in speaking up if they have been subjected to or witnessed bias, </w:t>
            </w:r>
            <w:proofErr w:type="gramStart"/>
            <w:r>
              <w:t>discrimination</w:t>
            </w:r>
            <w:proofErr w:type="gramEnd"/>
            <w:r>
              <w:t xml:space="preserve"> or prejudice</w:t>
            </w:r>
          </w:p>
          <w:p w14:paraId="4F9979E5" w14:textId="77777777" w:rsidR="00A72ECC" w:rsidRDefault="00A72ECC" w:rsidP="00A72ECC">
            <w:pPr>
              <w:pStyle w:val="BulletListDense"/>
            </w:pPr>
            <w:r>
              <w:t xml:space="preserve">Be prepared to speak up for others if you witness bias, </w:t>
            </w:r>
            <w:proofErr w:type="gramStart"/>
            <w:r>
              <w:t>discrimination</w:t>
            </w:r>
            <w:proofErr w:type="gramEnd"/>
            <w:r>
              <w:t xml:space="preserve"> or prejudice</w:t>
            </w:r>
          </w:p>
          <w:p w14:paraId="47661EF7" w14:textId="77777777" w:rsidR="00A72ECC" w:rsidRDefault="00A72ECC" w:rsidP="00A72ECC">
            <w:pPr>
              <w:pStyle w:val="BulletListDense"/>
              <w:numPr>
                <w:ilvl w:val="0"/>
                <w:numId w:val="0"/>
              </w:numPr>
              <w:ind w:left="853" w:hanging="360"/>
            </w:pPr>
          </w:p>
          <w:p w14:paraId="44BDB607" w14:textId="3E6E346B" w:rsidR="006155FC" w:rsidRPr="006155FC" w:rsidRDefault="006155FC" w:rsidP="006155FC">
            <w:pPr>
              <w:pStyle w:val="BulletListDense"/>
              <w:numPr>
                <w:ilvl w:val="0"/>
                <w:numId w:val="0"/>
              </w:numPr>
              <w:ind w:left="853"/>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DDCFDD1" w:rsidR="009F68CA" w:rsidRPr="009F68CA" w:rsidRDefault="00015462" w:rsidP="00B70651">
            <w:pPr>
              <w:pStyle w:val="ListParagraph"/>
              <w:spacing w:before="100" w:after="100"/>
            </w:pPr>
            <w:r>
              <w:t xml:space="preserve">Evidence to be provided </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43A56F1F" w:rsidR="009F68CA" w:rsidRPr="00966F66" w:rsidRDefault="00015462" w:rsidP="006155FC">
            <w:pPr>
              <w:rPr>
                <w:color w:val="000000"/>
              </w:rPr>
            </w:pPr>
            <w:r>
              <w:rPr>
                <w:rFonts w:cs="Calibri"/>
                <w:szCs w:val="22"/>
              </w:rPr>
              <w:t>N/A</w:t>
            </w:r>
          </w:p>
        </w:tc>
      </w:tr>
    </w:tbl>
    <w:p w14:paraId="3682E2D3" w14:textId="17A860FC"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6EFB776" w14:textId="77777777" w:rsidR="00A969AD" w:rsidRDefault="00A969AD" w:rsidP="00A969AD">
            <w:pPr>
              <w:pStyle w:val="BulletListDense"/>
              <w:rPr>
                <w:color w:val="FF0000"/>
                <w:lang w:eastAsia="en-GB"/>
              </w:rPr>
            </w:pPr>
            <w:r>
              <w:rPr>
                <w:lang w:eastAsia="en-GB"/>
              </w:rPr>
              <w:t xml:space="preserve">Appropriate level of </w:t>
            </w:r>
            <w:r w:rsidRPr="00902303">
              <w:rPr>
                <w:lang w:eastAsia="en-GB"/>
              </w:rPr>
              <w:t>UKCP</w:t>
            </w:r>
            <w:r>
              <w:rPr>
                <w:lang w:eastAsia="en-GB"/>
              </w:rPr>
              <w:t>, BACP, COSCA</w:t>
            </w:r>
            <w:r w:rsidRPr="00902303">
              <w:rPr>
                <w:lang w:eastAsia="en-GB"/>
              </w:rPr>
              <w:t xml:space="preserve"> </w:t>
            </w:r>
            <w:r>
              <w:rPr>
                <w:lang w:eastAsia="en-GB"/>
              </w:rPr>
              <w:t>r</w:t>
            </w:r>
            <w:r w:rsidRPr="00902303">
              <w:rPr>
                <w:lang w:eastAsia="en-GB"/>
              </w:rPr>
              <w:t>egistration</w:t>
            </w:r>
            <w:r>
              <w:rPr>
                <w:lang w:eastAsia="en-GB"/>
              </w:rPr>
              <w:t>/accreditation</w:t>
            </w:r>
            <w:r w:rsidRPr="004C1B0A">
              <w:rPr>
                <w:lang w:eastAsia="en-GB"/>
              </w:rPr>
              <w:t>.</w:t>
            </w:r>
          </w:p>
          <w:p w14:paraId="4315561D" w14:textId="40966655" w:rsidR="00966F66" w:rsidRPr="006155FC" w:rsidRDefault="00966F66" w:rsidP="00A969AD">
            <w:pPr>
              <w:pStyle w:val="BulletListDense"/>
              <w:numPr>
                <w:ilvl w:val="0"/>
                <w:numId w:val="0"/>
              </w:numPr>
              <w:ind w:left="493"/>
            </w:pPr>
          </w:p>
        </w:tc>
        <w:tc>
          <w:tcPr>
            <w:tcW w:w="3728" w:type="dxa"/>
          </w:tcPr>
          <w:p w14:paraId="0BA84ED4" w14:textId="173D3159" w:rsidR="003D596F" w:rsidRDefault="003D596F" w:rsidP="003D596F">
            <w:pPr>
              <w:pStyle w:val="BulletListDense"/>
            </w:pPr>
            <w:r>
              <w:t xml:space="preserve">Further training in another modality or type of psychotherapy, </w:t>
            </w:r>
            <w:proofErr w:type="gramStart"/>
            <w:r>
              <w:t>e.g.</w:t>
            </w:r>
            <w:proofErr w:type="gramEnd"/>
            <w:r>
              <w:t xml:space="preserve"> MBT or relevant model</w:t>
            </w:r>
          </w:p>
          <w:p w14:paraId="219AE6D8" w14:textId="6AEA886A" w:rsidR="00C32F19" w:rsidRDefault="00A969AD" w:rsidP="003D596F">
            <w:pPr>
              <w:pStyle w:val="BulletListDense"/>
            </w:pPr>
            <w:r>
              <w:t>Additional relevant accreditation</w:t>
            </w:r>
          </w:p>
          <w:p w14:paraId="23415BC5" w14:textId="1D6A5CBA" w:rsidR="00C32F19" w:rsidRDefault="00C32F19" w:rsidP="003D596F">
            <w:pPr>
              <w:pStyle w:val="BulletListDense"/>
            </w:pPr>
            <w:r>
              <w:t>Recognised qualification in one of the core mental health professionals (</w:t>
            </w:r>
            <w:proofErr w:type="gramStart"/>
            <w:r>
              <w:t>e.g.</w:t>
            </w:r>
            <w:proofErr w:type="gramEnd"/>
            <w:r>
              <w:t xml:space="preserve"> nursing, psychology, occupational therapy, social work) or extensive clinical experiences at post-qualification level</w:t>
            </w:r>
          </w:p>
          <w:p w14:paraId="249563A3" w14:textId="7B4B7813" w:rsidR="00966F66" w:rsidRPr="006155FC" w:rsidRDefault="00966F66" w:rsidP="003D596F">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Experience</w:t>
            </w:r>
          </w:p>
        </w:tc>
        <w:tc>
          <w:tcPr>
            <w:tcW w:w="3827" w:type="dxa"/>
          </w:tcPr>
          <w:p w14:paraId="3B562B01" w14:textId="42803761" w:rsidR="00966F66" w:rsidRPr="006155FC" w:rsidRDefault="00A533BE" w:rsidP="004030D2">
            <w:pPr>
              <w:pStyle w:val="BulletListDense"/>
            </w:pPr>
            <w:r>
              <w:rPr>
                <w:color w:val="000000"/>
                <w:lang w:eastAsia="en-GB"/>
              </w:rPr>
              <w:t>E</w:t>
            </w:r>
            <w:r w:rsidRPr="00A533BE">
              <w:rPr>
                <w:color w:val="000000"/>
                <w:lang w:eastAsia="en-GB"/>
              </w:rPr>
              <w:t>xperience of assessing patients for individual psychotherapy, taking account of a range of theoretical models and the ability to develop a clinical formulation and make recommendations for a treatment plan, including brief interventions and long-term work.</w:t>
            </w:r>
          </w:p>
        </w:tc>
        <w:tc>
          <w:tcPr>
            <w:tcW w:w="3728" w:type="dxa"/>
          </w:tcPr>
          <w:p w14:paraId="73BCA857" w14:textId="77777777" w:rsidR="00966F66" w:rsidRPr="006155FC" w:rsidRDefault="00966F66" w:rsidP="00425D63">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54846809" w:rsidR="00966F66" w:rsidRPr="006155FC" w:rsidRDefault="00966F66" w:rsidP="006155FC">
            <w:pPr>
              <w:pStyle w:val="BulletListDense"/>
            </w:pPr>
            <w:r w:rsidRPr="006155FC">
              <w:t>IT literate – intermediate level minimum</w:t>
            </w:r>
          </w:p>
        </w:tc>
        <w:tc>
          <w:tcPr>
            <w:tcW w:w="3728" w:type="dxa"/>
          </w:tcPr>
          <w:p w14:paraId="0A86D72C" w14:textId="33E89CBA" w:rsidR="00966F66" w:rsidRPr="006155FC" w:rsidRDefault="00966F66" w:rsidP="00425D63">
            <w:pPr>
              <w:pStyle w:val="BulletListDense"/>
              <w:numPr>
                <w:ilvl w:val="0"/>
                <w:numId w:val="0"/>
              </w:numPr>
              <w:ind w:left="85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664D0D6A" w:rsidR="00966F66" w:rsidRPr="00966F66" w:rsidRDefault="00425D63" w:rsidP="00425D63">
            <w:pPr>
              <w:pStyle w:val="BulletListDense"/>
              <w:rPr>
                <w:rFonts w:cs="Calibri"/>
                <w:szCs w:val="22"/>
              </w:rPr>
            </w:pPr>
            <w:r>
              <w:t xml:space="preserve">Evidence of further </w:t>
            </w:r>
            <w:r w:rsidR="00CE4892">
              <w:t>evidence-based</w:t>
            </w:r>
            <w:r>
              <w:t xml:space="preserve"> training </w:t>
            </w:r>
            <w:r w:rsidR="00617E69">
              <w:t>(</w:t>
            </w:r>
            <w:proofErr w:type="gramStart"/>
            <w:r w:rsidR="00617E69">
              <w:t>EMDR</w:t>
            </w:r>
            <w:r w:rsidR="00D35818">
              <w:t xml:space="preserve"> ,</w:t>
            </w:r>
            <w:proofErr w:type="gramEnd"/>
            <w:r w:rsidR="00D35818">
              <w:t xml:space="preserve"> MBT</w:t>
            </w:r>
            <w:r w:rsidR="00996812">
              <w:t xml:space="preserve">, </w:t>
            </w:r>
            <w:r w:rsidR="00617E69">
              <w:t>etc)</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D44FDC8" w14:textId="73282A57" w:rsidR="002F2834" w:rsidRDefault="002F2834" w:rsidP="00323947">
            <w:pPr>
              <w:pStyle w:val="BulletListDense"/>
            </w:pPr>
            <w:r>
              <w:t xml:space="preserve">Endorsing VHG and our customers ethos, customer focus and professionalism </w:t>
            </w:r>
          </w:p>
          <w:p w14:paraId="29CEE8D6" w14:textId="22BD8FDE" w:rsidR="006155FC" w:rsidRPr="00323947" w:rsidRDefault="006155FC" w:rsidP="00323947">
            <w:pPr>
              <w:pStyle w:val="BulletListDense"/>
            </w:pPr>
            <w:r w:rsidRPr="00323947">
              <w:t xml:space="preserve">Ability to work independently as well as part of wider </w:t>
            </w:r>
            <w:r w:rsidR="009D193C">
              <w:t>VHG</w:t>
            </w:r>
            <w:r w:rsidRPr="00323947">
              <w:t xml:space="preserve"> team</w:t>
            </w:r>
          </w:p>
          <w:p w14:paraId="0FE28B73" w14:textId="032E4FF1" w:rsidR="00987099" w:rsidRPr="00323947" w:rsidRDefault="00987099" w:rsidP="00323947">
            <w:pPr>
              <w:pStyle w:val="BulletListDense"/>
            </w:pPr>
            <w:r w:rsidRPr="00323947">
              <w:t>Excellent verbal and written communication skills</w:t>
            </w:r>
          </w:p>
          <w:p w14:paraId="21FB89F2" w14:textId="16B776BA" w:rsidR="00966F66" w:rsidRPr="001D244A" w:rsidRDefault="00CE4892" w:rsidP="00323947">
            <w:pPr>
              <w:pStyle w:val="BulletListDense"/>
            </w:pPr>
            <w:r>
              <w:rPr>
                <w:kern w:val="0"/>
              </w:rPr>
              <w:t xml:space="preserve">Effective management of invoicing to ensure timely payment </w:t>
            </w:r>
          </w:p>
        </w:tc>
        <w:tc>
          <w:tcPr>
            <w:tcW w:w="3728" w:type="dxa"/>
          </w:tcPr>
          <w:p w14:paraId="49E7C29C" w14:textId="7D9504E8" w:rsidR="00966F66" w:rsidRPr="00966F66" w:rsidRDefault="009D193C" w:rsidP="009D193C">
            <w:pPr>
              <w:pStyle w:val="BulletListDense"/>
            </w:pPr>
            <w:r>
              <w:t>Face to face clinic availability highly desirable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969A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969A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969A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3DDA" w14:textId="77777777" w:rsidR="008B3C24" w:rsidRDefault="008B3C24" w:rsidP="00A96CB2">
      <w:r>
        <w:separator/>
      </w:r>
    </w:p>
  </w:endnote>
  <w:endnote w:type="continuationSeparator" w:id="0">
    <w:p w14:paraId="4B26E490" w14:textId="77777777" w:rsidR="008B3C24" w:rsidRDefault="008B3C2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2033" w14:textId="77777777" w:rsidR="008B3C24" w:rsidRDefault="008B3C24" w:rsidP="00A96CB2">
      <w:r>
        <w:separator/>
      </w:r>
    </w:p>
  </w:footnote>
  <w:footnote w:type="continuationSeparator" w:id="0">
    <w:p w14:paraId="69C9BE5B" w14:textId="77777777" w:rsidR="008B3C24" w:rsidRDefault="008B3C2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5038750" w:rsidR="005E1013" w:rsidRPr="004A6AA8" w:rsidRDefault="00A969A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3BDD">
                                <w:t>Psychotherapist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5038750" w:rsidR="005E1013" w:rsidRPr="004A6AA8" w:rsidRDefault="008A03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3BDD">
                          <w:t>Psychotherapist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7AA45A2" w:rsidR="00AD6216" w:rsidRPr="004A6AA8" w:rsidRDefault="00A969A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3BDD">
                                <w:t>Psychotherapist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7AA45A2" w:rsidR="00AD6216" w:rsidRPr="004A6AA8" w:rsidRDefault="008A03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3BDD">
                          <w:t>Psychotherapist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3C2889"/>
    <w:multiLevelType w:val="hybridMultilevel"/>
    <w:tmpl w:val="0B923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76F3"/>
    <w:multiLevelType w:val="hybridMultilevel"/>
    <w:tmpl w:val="7D8E5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192A4E"/>
    <w:multiLevelType w:val="hybridMultilevel"/>
    <w:tmpl w:val="3ABA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047157">
    <w:abstractNumId w:val="10"/>
  </w:num>
  <w:num w:numId="2" w16cid:durableId="1898279380">
    <w:abstractNumId w:val="11"/>
  </w:num>
  <w:num w:numId="3" w16cid:durableId="618681348">
    <w:abstractNumId w:val="3"/>
  </w:num>
  <w:num w:numId="4" w16cid:durableId="901063998">
    <w:abstractNumId w:val="2"/>
  </w:num>
  <w:num w:numId="5" w16cid:durableId="1747797759">
    <w:abstractNumId w:val="1"/>
  </w:num>
  <w:num w:numId="6" w16cid:durableId="1682664919">
    <w:abstractNumId w:val="0"/>
  </w:num>
  <w:num w:numId="7" w16cid:durableId="548302292">
    <w:abstractNumId w:val="18"/>
  </w:num>
  <w:num w:numId="8" w16cid:durableId="1019351989">
    <w:abstractNumId w:val="19"/>
  </w:num>
  <w:num w:numId="9" w16cid:durableId="384371460">
    <w:abstractNumId w:val="12"/>
  </w:num>
  <w:num w:numId="10" w16cid:durableId="330372110">
    <w:abstractNumId w:val="4"/>
  </w:num>
  <w:num w:numId="11" w16cid:durableId="789667213">
    <w:abstractNumId w:val="13"/>
  </w:num>
  <w:num w:numId="12" w16cid:durableId="1805852187">
    <w:abstractNumId w:val="8"/>
  </w:num>
  <w:num w:numId="13" w16cid:durableId="997881037">
    <w:abstractNumId w:val="7"/>
  </w:num>
  <w:num w:numId="14" w16cid:durableId="2129926394">
    <w:abstractNumId w:val="22"/>
  </w:num>
  <w:num w:numId="15" w16cid:durableId="994796525">
    <w:abstractNumId w:val="21"/>
  </w:num>
  <w:num w:numId="16" w16cid:durableId="1209755284">
    <w:abstractNumId w:val="16"/>
  </w:num>
  <w:num w:numId="17" w16cid:durableId="1327510447">
    <w:abstractNumId w:val="6"/>
  </w:num>
  <w:num w:numId="18" w16cid:durableId="1675185662">
    <w:abstractNumId w:val="17"/>
  </w:num>
  <w:num w:numId="19" w16cid:durableId="1069498436">
    <w:abstractNumId w:val="9"/>
  </w:num>
  <w:num w:numId="20" w16cid:durableId="1952470347">
    <w:abstractNumId w:val="20"/>
  </w:num>
  <w:num w:numId="21" w16cid:durableId="2105029961">
    <w:abstractNumId w:val="15"/>
  </w:num>
  <w:num w:numId="22" w16cid:durableId="423653416">
    <w:abstractNumId w:val="5"/>
  </w:num>
  <w:num w:numId="23" w16cid:durableId="23671866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462"/>
    <w:rsid w:val="00031EE5"/>
    <w:rsid w:val="0003359B"/>
    <w:rsid w:val="000361B6"/>
    <w:rsid w:val="000451AC"/>
    <w:rsid w:val="00060F4B"/>
    <w:rsid w:val="00073D92"/>
    <w:rsid w:val="0007487D"/>
    <w:rsid w:val="000778C3"/>
    <w:rsid w:val="0008067D"/>
    <w:rsid w:val="0009523A"/>
    <w:rsid w:val="00096451"/>
    <w:rsid w:val="000B543A"/>
    <w:rsid w:val="000B75B8"/>
    <w:rsid w:val="000C22EE"/>
    <w:rsid w:val="000C423F"/>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1A76"/>
    <w:rsid w:val="00214E5E"/>
    <w:rsid w:val="00232ED5"/>
    <w:rsid w:val="0024338F"/>
    <w:rsid w:val="0026053A"/>
    <w:rsid w:val="00266A7A"/>
    <w:rsid w:val="002767D4"/>
    <w:rsid w:val="00284165"/>
    <w:rsid w:val="002943F5"/>
    <w:rsid w:val="002A0415"/>
    <w:rsid w:val="002A19D2"/>
    <w:rsid w:val="002A56DE"/>
    <w:rsid w:val="002C1886"/>
    <w:rsid w:val="002C26B0"/>
    <w:rsid w:val="002C5CFB"/>
    <w:rsid w:val="002E12D8"/>
    <w:rsid w:val="002F2834"/>
    <w:rsid w:val="002F6E88"/>
    <w:rsid w:val="003009D3"/>
    <w:rsid w:val="003163AC"/>
    <w:rsid w:val="00317A49"/>
    <w:rsid w:val="00317DFA"/>
    <w:rsid w:val="0032018C"/>
    <w:rsid w:val="00323947"/>
    <w:rsid w:val="00331E01"/>
    <w:rsid w:val="0033354B"/>
    <w:rsid w:val="003355CB"/>
    <w:rsid w:val="003469E4"/>
    <w:rsid w:val="003650D1"/>
    <w:rsid w:val="0038772C"/>
    <w:rsid w:val="0038785C"/>
    <w:rsid w:val="0039454F"/>
    <w:rsid w:val="003A576E"/>
    <w:rsid w:val="003A591F"/>
    <w:rsid w:val="003B3ED7"/>
    <w:rsid w:val="003D4846"/>
    <w:rsid w:val="003D596F"/>
    <w:rsid w:val="003E2915"/>
    <w:rsid w:val="003E6AC1"/>
    <w:rsid w:val="003F47B2"/>
    <w:rsid w:val="0040035C"/>
    <w:rsid w:val="00400F4B"/>
    <w:rsid w:val="004030D2"/>
    <w:rsid w:val="00407D0E"/>
    <w:rsid w:val="004117C0"/>
    <w:rsid w:val="004130E5"/>
    <w:rsid w:val="004131C8"/>
    <w:rsid w:val="00413F79"/>
    <w:rsid w:val="00414E62"/>
    <w:rsid w:val="00420840"/>
    <w:rsid w:val="00425D63"/>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44750"/>
    <w:rsid w:val="0055685A"/>
    <w:rsid w:val="00556A5E"/>
    <w:rsid w:val="00557C5F"/>
    <w:rsid w:val="005750BA"/>
    <w:rsid w:val="005775F8"/>
    <w:rsid w:val="00583E2F"/>
    <w:rsid w:val="00586007"/>
    <w:rsid w:val="005A0A53"/>
    <w:rsid w:val="005A2909"/>
    <w:rsid w:val="005B5863"/>
    <w:rsid w:val="005E1013"/>
    <w:rsid w:val="005E337E"/>
    <w:rsid w:val="005F4391"/>
    <w:rsid w:val="00603C08"/>
    <w:rsid w:val="00612BE0"/>
    <w:rsid w:val="006155FC"/>
    <w:rsid w:val="00615CDB"/>
    <w:rsid w:val="00617E69"/>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36C7"/>
    <w:rsid w:val="00693619"/>
    <w:rsid w:val="00693A0A"/>
    <w:rsid w:val="006A1513"/>
    <w:rsid w:val="006A615A"/>
    <w:rsid w:val="006A7FC8"/>
    <w:rsid w:val="006B647C"/>
    <w:rsid w:val="006C14D9"/>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1F5C"/>
    <w:rsid w:val="008A0372"/>
    <w:rsid w:val="008A0F87"/>
    <w:rsid w:val="008B3C24"/>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96812"/>
    <w:rsid w:val="009A706F"/>
    <w:rsid w:val="009B2062"/>
    <w:rsid w:val="009B41B8"/>
    <w:rsid w:val="009D193C"/>
    <w:rsid w:val="009D591E"/>
    <w:rsid w:val="009D715E"/>
    <w:rsid w:val="009E32A2"/>
    <w:rsid w:val="009E4D3C"/>
    <w:rsid w:val="009F68CA"/>
    <w:rsid w:val="00A00821"/>
    <w:rsid w:val="00A03CBA"/>
    <w:rsid w:val="00A215C5"/>
    <w:rsid w:val="00A34AC6"/>
    <w:rsid w:val="00A51DA9"/>
    <w:rsid w:val="00A533BE"/>
    <w:rsid w:val="00A562C0"/>
    <w:rsid w:val="00A62D61"/>
    <w:rsid w:val="00A66B4F"/>
    <w:rsid w:val="00A72ECC"/>
    <w:rsid w:val="00A820BE"/>
    <w:rsid w:val="00A87CA6"/>
    <w:rsid w:val="00A909EF"/>
    <w:rsid w:val="00A95664"/>
    <w:rsid w:val="00A969AD"/>
    <w:rsid w:val="00A96CB2"/>
    <w:rsid w:val="00AA197E"/>
    <w:rsid w:val="00AC21A4"/>
    <w:rsid w:val="00AC76FA"/>
    <w:rsid w:val="00AD1C29"/>
    <w:rsid w:val="00AD6216"/>
    <w:rsid w:val="00AF5C72"/>
    <w:rsid w:val="00AF6D0E"/>
    <w:rsid w:val="00B2053D"/>
    <w:rsid w:val="00B21FAC"/>
    <w:rsid w:val="00B42929"/>
    <w:rsid w:val="00B4728A"/>
    <w:rsid w:val="00B507D2"/>
    <w:rsid w:val="00B70651"/>
    <w:rsid w:val="00B73492"/>
    <w:rsid w:val="00B83328"/>
    <w:rsid w:val="00BB0231"/>
    <w:rsid w:val="00BB1657"/>
    <w:rsid w:val="00BB327E"/>
    <w:rsid w:val="00BB3BDD"/>
    <w:rsid w:val="00BB3F7F"/>
    <w:rsid w:val="00BC09DF"/>
    <w:rsid w:val="00BC296B"/>
    <w:rsid w:val="00BC7E72"/>
    <w:rsid w:val="00BD35D8"/>
    <w:rsid w:val="00BE4EA4"/>
    <w:rsid w:val="00BE5187"/>
    <w:rsid w:val="00BF6F51"/>
    <w:rsid w:val="00BF7514"/>
    <w:rsid w:val="00C07454"/>
    <w:rsid w:val="00C07A4A"/>
    <w:rsid w:val="00C26FAA"/>
    <w:rsid w:val="00C32F19"/>
    <w:rsid w:val="00C470DD"/>
    <w:rsid w:val="00C50A66"/>
    <w:rsid w:val="00C57856"/>
    <w:rsid w:val="00C600C2"/>
    <w:rsid w:val="00C653AC"/>
    <w:rsid w:val="00C7219D"/>
    <w:rsid w:val="00C83042"/>
    <w:rsid w:val="00CA4700"/>
    <w:rsid w:val="00CA7205"/>
    <w:rsid w:val="00CB45D6"/>
    <w:rsid w:val="00CC5C14"/>
    <w:rsid w:val="00CE4892"/>
    <w:rsid w:val="00CE6F74"/>
    <w:rsid w:val="00CF320A"/>
    <w:rsid w:val="00CF326B"/>
    <w:rsid w:val="00D00FDB"/>
    <w:rsid w:val="00D01434"/>
    <w:rsid w:val="00D070A1"/>
    <w:rsid w:val="00D13D94"/>
    <w:rsid w:val="00D15202"/>
    <w:rsid w:val="00D331FB"/>
    <w:rsid w:val="00D352BC"/>
    <w:rsid w:val="00D35818"/>
    <w:rsid w:val="00D4532F"/>
    <w:rsid w:val="00D610B8"/>
    <w:rsid w:val="00D66587"/>
    <w:rsid w:val="00D76E89"/>
    <w:rsid w:val="00D801E2"/>
    <w:rsid w:val="00D84D7D"/>
    <w:rsid w:val="00D962FC"/>
    <w:rsid w:val="00DA12CF"/>
    <w:rsid w:val="00DB4575"/>
    <w:rsid w:val="00DD3296"/>
    <w:rsid w:val="00DE205B"/>
    <w:rsid w:val="00DF02BD"/>
    <w:rsid w:val="00E027ED"/>
    <w:rsid w:val="00E10AA4"/>
    <w:rsid w:val="00E12C2D"/>
    <w:rsid w:val="00E16C86"/>
    <w:rsid w:val="00E4225D"/>
    <w:rsid w:val="00E4379F"/>
    <w:rsid w:val="00E54411"/>
    <w:rsid w:val="00E653E9"/>
    <w:rsid w:val="00E8539F"/>
    <w:rsid w:val="00E8547A"/>
    <w:rsid w:val="00EA27A9"/>
    <w:rsid w:val="00EA753A"/>
    <w:rsid w:val="00EB76F5"/>
    <w:rsid w:val="00EC4FA3"/>
    <w:rsid w:val="00ED2F2C"/>
    <w:rsid w:val="00ED6078"/>
    <w:rsid w:val="00EE6476"/>
    <w:rsid w:val="00F0798E"/>
    <w:rsid w:val="00F42C0A"/>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03184721">
      <w:bodyDiv w:val="1"/>
      <w:marLeft w:val="0"/>
      <w:marRight w:val="0"/>
      <w:marTop w:val="0"/>
      <w:marBottom w:val="0"/>
      <w:divBdr>
        <w:top w:val="none" w:sz="0" w:space="0" w:color="auto"/>
        <w:left w:val="none" w:sz="0" w:space="0" w:color="auto"/>
        <w:bottom w:val="none" w:sz="0" w:space="0" w:color="auto"/>
        <w:right w:val="none" w:sz="0" w:space="0" w:color="auto"/>
      </w:divBdr>
    </w:div>
    <w:div w:id="485241835">
      <w:bodyDiv w:val="1"/>
      <w:marLeft w:val="0"/>
      <w:marRight w:val="0"/>
      <w:marTop w:val="0"/>
      <w:marBottom w:val="0"/>
      <w:divBdr>
        <w:top w:val="none" w:sz="0" w:space="0" w:color="auto"/>
        <w:left w:val="none" w:sz="0" w:space="0" w:color="auto"/>
        <w:bottom w:val="none" w:sz="0" w:space="0" w:color="auto"/>
        <w:right w:val="none" w:sz="0" w:space="0" w:color="auto"/>
      </w:divBdr>
    </w:div>
    <w:div w:id="550657310">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17410830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5288432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BF6A9D"/>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505</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Psychotherapist</dc:title>
  <dc:subject>Enter Sub-Title Of Policy</dc:subject>
  <dc:creator>Human Resources</dc:creator>
  <cp:keywords>TBC</cp:keywords>
  <dc:description>V1.1</dc:description>
  <cp:lastModifiedBy>Katy James</cp:lastModifiedBy>
  <cp:revision>2</cp:revision>
  <cp:lastPrinted>2018-03-16T13:36:00Z</cp:lastPrinted>
  <dcterms:created xsi:type="dcterms:W3CDTF">2022-08-25T17:45:00Z</dcterms:created>
  <dcterms:modified xsi:type="dcterms:W3CDTF">2022-08-25T17:45:00Z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