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D3C09D0" w:rsidR="005E1013" w:rsidRDefault="0000000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7071EA">
            <w:rPr>
              <w:rStyle w:val="TitleChar"/>
            </w:rPr>
            <w:t>Infection Prevention and Control (IPC) Lead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5E83AD">
        <w:tc>
          <w:tcPr>
            <w:tcW w:w="3256" w:type="dxa"/>
            <w:vAlign w:val="center"/>
          </w:tcPr>
          <w:p w14:paraId="3A063C37" w14:textId="11B54C75" w:rsidR="00966F66" w:rsidRDefault="00966F66" w:rsidP="00547A12"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781D69A" w:rsidR="00966F66" w:rsidRPr="000027EE" w:rsidRDefault="007071EA" w:rsidP="00547A12">
            <w:pPr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Infection Prevention and Control (IPC) Lead</w:t>
            </w:r>
          </w:p>
        </w:tc>
      </w:tr>
      <w:tr w:rsidR="00966F66" w14:paraId="19AB6488" w14:textId="77777777" w:rsidTr="1E5E83AD">
        <w:tc>
          <w:tcPr>
            <w:tcW w:w="3256" w:type="dxa"/>
            <w:vAlign w:val="center"/>
          </w:tcPr>
          <w:p w14:paraId="755D3B7A" w14:textId="3D2363B8" w:rsidR="00966F66" w:rsidRDefault="00966F66" w:rsidP="00547A12"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27599EF" w:rsidR="00966F66" w:rsidRPr="000027EE" w:rsidRDefault="0073024B" w:rsidP="00547A12">
            <w:pPr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 xml:space="preserve">Governance and Quality </w:t>
            </w:r>
          </w:p>
        </w:tc>
      </w:tr>
      <w:tr w:rsidR="00966F66" w14:paraId="5BA82C71" w14:textId="77777777" w:rsidTr="1E5E83AD">
        <w:tc>
          <w:tcPr>
            <w:tcW w:w="3256" w:type="dxa"/>
            <w:vAlign w:val="center"/>
          </w:tcPr>
          <w:p w14:paraId="5F3C8594" w14:textId="774214C3" w:rsidR="00966F66" w:rsidRDefault="00966F66" w:rsidP="00547A12"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55C180E" w:rsidR="00966F66" w:rsidRPr="000027EE" w:rsidRDefault="0073024B" w:rsidP="00547A12">
            <w:pPr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Remote (</w:t>
            </w:r>
            <w:r w:rsidR="00B1302A">
              <w:rPr>
                <w:rFonts w:eastAsia="Gill Sans MT" w:cs="Calibri"/>
                <w:szCs w:val="22"/>
              </w:rPr>
              <w:t xml:space="preserve">with </w:t>
            </w:r>
            <w:proofErr w:type="gramStart"/>
            <w:r w:rsidR="00B1302A">
              <w:rPr>
                <w:rFonts w:eastAsia="Gill Sans MT" w:cs="Calibri"/>
                <w:szCs w:val="22"/>
              </w:rPr>
              <w:t>some</w:t>
            </w:r>
            <w:proofErr w:type="gramEnd"/>
            <w:r w:rsidR="00B1302A">
              <w:rPr>
                <w:rFonts w:eastAsia="Gill Sans MT" w:cs="Calibri"/>
                <w:szCs w:val="22"/>
              </w:rPr>
              <w:t xml:space="preserve"> </w:t>
            </w:r>
            <w:r>
              <w:rPr>
                <w:rFonts w:eastAsia="Gill Sans MT" w:cs="Calibri"/>
                <w:szCs w:val="22"/>
              </w:rPr>
              <w:t>travel</w:t>
            </w:r>
            <w:r w:rsidR="00B1302A">
              <w:rPr>
                <w:rFonts w:eastAsia="Gill Sans MT" w:cs="Calibri"/>
                <w:szCs w:val="22"/>
              </w:rPr>
              <w:t xml:space="preserve"> to sites</w:t>
            </w:r>
            <w:r>
              <w:rPr>
                <w:rFonts w:eastAsia="Gill Sans MT" w:cs="Calibri"/>
                <w:szCs w:val="22"/>
              </w:rPr>
              <w:t>)</w:t>
            </w:r>
          </w:p>
        </w:tc>
      </w:tr>
      <w:tr w:rsidR="00966F66" w14:paraId="61E91F65" w14:textId="77777777" w:rsidTr="00547A12">
        <w:trPr>
          <w:trHeight w:val="558"/>
        </w:trPr>
        <w:tc>
          <w:tcPr>
            <w:tcW w:w="3256" w:type="dxa"/>
            <w:vAlign w:val="center"/>
          </w:tcPr>
          <w:p w14:paraId="5DBDD5AC" w14:textId="625D7CB5" w:rsidR="00966F66" w:rsidRDefault="00966F66" w:rsidP="00547A12"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5A143AC5" w:rsidR="00966F66" w:rsidRPr="000027EE" w:rsidRDefault="0073024B" w:rsidP="00547A12">
            <w:pPr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 xml:space="preserve">Head of Governance and Quality </w:t>
            </w:r>
          </w:p>
        </w:tc>
      </w:tr>
      <w:tr w:rsidR="00966F66" w14:paraId="13153721" w14:textId="77777777" w:rsidTr="1E5E83AD">
        <w:tc>
          <w:tcPr>
            <w:tcW w:w="3256" w:type="dxa"/>
            <w:vAlign w:val="center"/>
          </w:tcPr>
          <w:p w14:paraId="47666179" w14:textId="2AD38F3C" w:rsidR="00966F66" w:rsidRDefault="00966F66" w:rsidP="00547A12">
            <w:r>
              <w:t>Direct reports:</w:t>
            </w:r>
          </w:p>
        </w:tc>
        <w:tc>
          <w:tcPr>
            <w:tcW w:w="6706" w:type="dxa"/>
            <w:vAlign w:val="center"/>
          </w:tcPr>
          <w:p w14:paraId="3DB63B7E" w14:textId="6716D7EC" w:rsidR="00966F66" w:rsidRPr="000027EE" w:rsidRDefault="0073024B" w:rsidP="00547A12">
            <w:pPr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Nil</w:t>
            </w:r>
          </w:p>
        </w:tc>
      </w:tr>
      <w:tr w:rsidR="00966F66" w14:paraId="61110A87" w14:textId="77777777" w:rsidTr="1E5E83AD">
        <w:tc>
          <w:tcPr>
            <w:tcW w:w="3256" w:type="dxa"/>
            <w:vAlign w:val="center"/>
          </w:tcPr>
          <w:p w14:paraId="2FF0A51C" w14:textId="56C375A7" w:rsidR="00966F66" w:rsidRDefault="00966F66" w:rsidP="00547A12">
            <w:r>
              <w:t xml:space="preserve">Accountable to: </w:t>
            </w:r>
          </w:p>
        </w:tc>
        <w:tc>
          <w:tcPr>
            <w:tcW w:w="6706" w:type="dxa"/>
            <w:vAlign w:val="center"/>
          </w:tcPr>
          <w:p w14:paraId="3DFAFEE2" w14:textId="39081BF7" w:rsidR="00966F66" w:rsidRPr="000027EE" w:rsidRDefault="0073024B" w:rsidP="00547A12">
            <w:pPr>
              <w:rPr>
                <w:rFonts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Head of Governance and Quality</w:t>
            </w:r>
          </w:p>
        </w:tc>
      </w:tr>
      <w:tr w:rsidR="00966F66" w14:paraId="34A2BEBB" w14:textId="77777777" w:rsidTr="1E5E83AD">
        <w:tc>
          <w:tcPr>
            <w:tcW w:w="3256" w:type="dxa"/>
            <w:vAlign w:val="center"/>
          </w:tcPr>
          <w:p w14:paraId="5D8CED71" w14:textId="47B9CCF8" w:rsidR="00966F66" w:rsidRDefault="00966F66" w:rsidP="00547A12">
            <w:r>
              <w:t>Job purpose:</w:t>
            </w:r>
          </w:p>
        </w:tc>
        <w:tc>
          <w:tcPr>
            <w:tcW w:w="6706" w:type="dxa"/>
            <w:vAlign w:val="center"/>
          </w:tcPr>
          <w:p w14:paraId="04552DEF" w14:textId="5CCCB900" w:rsidR="002639E4" w:rsidRDefault="002639E4" w:rsidP="00547A1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A new opportunity has arisen within Vita Health Group’s Governance and </w:t>
            </w:r>
            <w:r w:rsidR="00F87A1E">
              <w:rPr>
                <w:lang w:eastAsia="en-GB"/>
              </w:rPr>
              <w:t>Quality</w:t>
            </w:r>
            <w:r>
              <w:rPr>
                <w:lang w:eastAsia="en-GB"/>
              </w:rPr>
              <w:t xml:space="preserve"> Team; as part of team expansion, we are looking for an enthusiastic, </w:t>
            </w:r>
            <w:r w:rsidR="003B5154">
              <w:rPr>
                <w:lang w:eastAsia="en-GB"/>
              </w:rPr>
              <w:t>innovative,</w:t>
            </w:r>
            <w:r>
              <w:rPr>
                <w:lang w:eastAsia="en-GB"/>
              </w:rPr>
              <w:t xml:space="preserve"> and knowledgeable individual to lead infection prevention</w:t>
            </w:r>
            <w:r w:rsidR="002F1DE0">
              <w:rPr>
                <w:lang w:eastAsia="en-GB"/>
              </w:rPr>
              <w:t xml:space="preserve"> and</w:t>
            </w:r>
            <w:r>
              <w:rPr>
                <w:lang w:eastAsia="en-GB"/>
              </w:rPr>
              <w:t xml:space="preserve"> control (IPC) activities </w:t>
            </w:r>
            <w:r w:rsidR="002F1DE0">
              <w:rPr>
                <w:lang w:eastAsia="en-GB"/>
              </w:rPr>
              <w:t>throughout Vita Health Group</w:t>
            </w:r>
            <w:r w:rsidR="00D324BD">
              <w:rPr>
                <w:lang w:eastAsia="en-GB"/>
              </w:rPr>
              <w:t xml:space="preserve"> (VHG)</w:t>
            </w:r>
            <w:r>
              <w:rPr>
                <w:lang w:eastAsia="en-GB"/>
              </w:rPr>
              <w:t xml:space="preserve">. The role will report to our Head of Governance and Quality and will be key in ensuring </w:t>
            </w:r>
            <w:r w:rsidR="003B5154">
              <w:rPr>
                <w:lang w:eastAsia="en-GB"/>
              </w:rPr>
              <w:t>VHG</w:t>
            </w:r>
            <w:r>
              <w:rPr>
                <w:lang w:eastAsia="en-GB"/>
              </w:rPr>
              <w:t xml:space="preserve"> delivers safe</w:t>
            </w:r>
            <w:r w:rsidR="003B5154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quality care</w:t>
            </w:r>
            <w:r w:rsidR="003B5154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to all the people it serves as well as ensuring safe practice and environments for all </w:t>
            </w:r>
            <w:r w:rsidR="005C542F">
              <w:rPr>
                <w:lang w:eastAsia="en-GB"/>
              </w:rPr>
              <w:t>c</w:t>
            </w:r>
            <w:r>
              <w:rPr>
                <w:lang w:eastAsia="en-GB"/>
              </w:rPr>
              <w:t>olleagues</w:t>
            </w:r>
            <w:proofErr w:type="gramStart"/>
            <w:r w:rsidR="006E3219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 xml:space="preserve"> </w:t>
            </w:r>
            <w:proofErr w:type="gramEnd"/>
          </w:p>
          <w:p w14:paraId="52CFDEB9" w14:textId="77777777" w:rsidR="002639E4" w:rsidRDefault="002639E4" w:rsidP="00547A12">
            <w:pPr>
              <w:rPr>
                <w:lang w:eastAsia="en-GB"/>
              </w:rPr>
            </w:pPr>
          </w:p>
          <w:p w14:paraId="38DC956E" w14:textId="2442B47F" w:rsidR="00EE1E09" w:rsidRDefault="002639E4" w:rsidP="00547A12">
            <w:r w:rsidRPr="003554D2">
              <w:t xml:space="preserve">The role will be responsible for the </w:t>
            </w:r>
            <w:r>
              <w:t xml:space="preserve">ongoing </w:t>
            </w:r>
            <w:r w:rsidRPr="003554D2">
              <w:t>development</w:t>
            </w:r>
            <w:r w:rsidR="00FF5529">
              <w:t>, review</w:t>
            </w:r>
            <w:r w:rsidRPr="003554D2">
              <w:t xml:space="preserve"> and implementation of</w:t>
            </w:r>
            <w:r w:rsidR="00FF5529">
              <w:t xml:space="preserve"> our</w:t>
            </w:r>
            <w:r w:rsidRPr="003554D2">
              <w:t xml:space="preserve"> infection </w:t>
            </w:r>
            <w:r w:rsidR="00FF5529">
              <w:t>prevention and control framework</w:t>
            </w:r>
            <w:r w:rsidR="00D75C60">
              <w:t xml:space="preserve"> </w:t>
            </w:r>
            <w:proofErr w:type="gramStart"/>
            <w:r w:rsidR="00D75C60">
              <w:t>including but not limited to</w:t>
            </w:r>
            <w:proofErr w:type="gramEnd"/>
            <w:r w:rsidR="00D75C60">
              <w:t xml:space="preserve"> IPC</w:t>
            </w:r>
            <w:r w:rsidRPr="003554D2">
              <w:t xml:space="preserve"> polic</w:t>
            </w:r>
            <w:r>
              <w:t>ies, procedures,</w:t>
            </w:r>
            <w:r w:rsidRPr="003554D2">
              <w:t xml:space="preserve"> </w:t>
            </w:r>
            <w:r>
              <w:t>quality</w:t>
            </w:r>
            <w:r w:rsidRPr="003554D2">
              <w:t xml:space="preserve"> </w:t>
            </w:r>
            <w:r>
              <w:t>improvement projects</w:t>
            </w:r>
            <w:r w:rsidR="00ED33CE">
              <w:t xml:space="preserve"> and</w:t>
            </w:r>
            <w:r w:rsidR="00B06D78">
              <w:t xml:space="preserve"> the annual IPC plan</w:t>
            </w:r>
            <w:r w:rsidR="00EE1E09">
              <w:t>.</w:t>
            </w:r>
          </w:p>
          <w:p w14:paraId="7924EDD5" w14:textId="77777777" w:rsidR="00EE1E09" w:rsidRDefault="00EE1E09" w:rsidP="00547A12"/>
          <w:p w14:paraId="027DF167" w14:textId="5008D991" w:rsidR="00E11E54" w:rsidRPr="00E11E54" w:rsidRDefault="00EE1E09" w:rsidP="00547A12">
            <w:pPr>
              <w:rPr>
                <w:bCs/>
                <w:szCs w:val="22"/>
                <w:lang w:eastAsia="en-GB"/>
              </w:rPr>
            </w:pPr>
            <w:r>
              <w:t xml:space="preserve">The role will </w:t>
            </w:r>
            <w:r w:rsidR="00D45B48">
              <w:t xml:space="preserve">lead and </w:t>
            </w:r>
            <w:r>
              <w:t>work in collaboration with</w:t>
            </w:r>
            <w:r w:rsidR="00A867FC">
              <w:t xml:space="preserve"> the IPC team</w:t>
            </w:r>
            <w:r w:rsidR="00131BDA">
              <w:t xml:space="preserve"> and other key stakeholders</w:t>
            </w:r>
            <w:r>
              <w:t xml:space="preserve"> to ensure delivery of the IPC strategy</w:t>
            </w:r>
            <w:r w:rsidR="002639E4" w:rsidRPr="003554D2">
              <w:t xml:space="preserve">. </w:t>
            </w:r>
          </w:p>
        </w:tc>
      </w:tr>
      <w:tr w:rsidR="00966F66" w14:paraId="3CFD1385" w14:textId="77777777" w:rsidTr="1E5E83AD">
        <w:tc>
          <w:tcPr>
            <w:tcW w:w="3256" w:type="dxa"/>
            <w:vAlign w:val="center"/>
          </w:tcPr>
          <w:p w14:paraId="627BDC42" w14:textId="77777777" w:rsidR="00966F66" w:rsidRDefault="00966F66" w:rsidP="00547A12">
            <w:r>
              <w:t xml:space="preserve">Role and </w:t>
            </w:r>
            <w:proofErr w:type="gramStart"/>
            <w:r>
              <w:t>Responsibilities:</w:t>
            </w:r>
            <w:proofErr w:type="gramEnd"/>
          </w:p>
        </w:tc>
        <w:tc>
          <w:tcPr>
            <w:tcW w:w="6706" w:type="dxa"/>
            <w:vAlign w:val="center"/>
          </w:tcPr>
          <w:p w14:paraId="762E30BB" w14:textId="77777777" w:rsidR="00E11E54" w:rsidRPr="00400D63" w:rsidRDefault="00E11E54" w:rsidP="00547A12">
            <w:pPr>
              <w:rPr>
                <w:bCs/>
                <w:color w:val="D64053" w:themeColor="accent5"/>
                <w:szCs w:val="22"/>
                <w:lang w:eastAsia="en-GB"/>
              </w:rPr>
            </w:pPr>
          </w:p>
          <w:p w14:paraId="6BCFFAB4" w14:textId="339CFD47" w:rsidR="00C53B5F" w:rsidRDefault="00D45B48" w:rsidP="004A6826">
            <w:pPr>
              <w:pStyle w:val="BulletListDense"/>
            </w:pPr>
            <w:r>
              <w:t>Enhancing</w:t>
            </w:r>
            <w:r w:rsidR="001C663C">
              <w:t xml:space="preserve"> the</w:t>
            </w:r>
            <w:r w:rsidR="00E96376">
              <w:t xml:space="preserve"> IPC framework including updating policies and procedures</w:t>
            </w:r>
          </w:p>
          <w:p w14:paraId="02DEFEF2" w14:textId="05DB09D7" w:rsidR="00E96376" w:rsidRDefault="004A6826" w:rsidP="004A6826">
            <w:pPr>
              <w:pStyle w:val="BulletListDense"/>
            </w:pPr>
            <w:r>
              <w:t>Working in collaboration with the IPC team</w:t>
            </w:r>
            <w:r w:rsidR="00EA1B96">
              <w:t>, ensuring each member exercises their IPC requirements</w:t>
            </w:r>
            <w:r w:rsidR="00E96376">
              <w:t xml:space="preserve"> </w:t>
            </w:r>
          </w:p>
          <w:p w14:paraId="3FE73A18" w14:textId="77777777" w:rsidR="00E96376" w:rsidRDefault="00E96376" w:rsidP="00EA1B96">
            <w:pPr>
              <w:pStyle w:val="BulletListDense"/>
            </w:pPr>
            <w:r>
              <w:t xml:space="preserve">Developing and undertaking a variety of IPC audits such as hand hygiene and environment checks </w:t>
            </w:r>
          </w:p>
          <w:p w14:paraId="24AC7CB2" w14:textId="263F24C4" w:rsidR="00E96376" w:rsidRDefault="00E96376" w:rsidP="00EA1B96">
            <w:pPr>
              <w:pStyle w:val="BulletListDense"/>
            </w:pPr>
            <w:r>
              <w:t xml:space="preserve">Quality </w:t>
            </w:r>
            <w:r w:rsidR="00EA1B96">
              <w:t xml:space="preserve">site </w:t>
            </w:r>
            <w:r>
              <w:t xml:space="preserve">visits </w:t>
            </w:r>
            <w:r w:rsidR="00EA1B96">
              <w:t>capturing comprehensive</w:t>
            </w:r>
            <w:r w:rsidR="00331D55">
              <w:t xml:space="preserve"> audits and compliance</w:t>
            </w:r>
            <w:r>
              <w:t xml:space="preserve"> </w:t>
            </w:r>
          </w:p>
          <w:p w14:paraId="08387835" w14:textId="70209774" w:rsidR="00E96376" w:rsidRDefault="00E96376" w:rsidP="00331D55">
            <w:pPr>
              <w:pStyle w:val="BulletListDense"/>
            </w:pPr>
            <w:r>
              <w:t>Analy</w:t>
            </w:r>
            <w:r w:rsidR="009E188E">
              <w:t>sing data and thematic IPC trends</w:t>
            </w:r>
            <w:r>
              <w:t xml:space="preserve"> and presenting </w:t>
            </w:r>
            <w:r w:rsidR="00C823C5">
              <w:t>monthly report</w:t>
            </w:r>
            <w:r w:rsidR="007E572F">
              <w:t>s</w:t>
            </w:r>
            <w:r w:rsidR="00C823C5">
              <w:t xml:space="preserve"> to Head of Governance &amp; Quality</w:t>
            </w:r>
            <w:r w:rsidR="005311A4">
              <w:t xml:space="preserve"> and</w:t>
            </w:r>
            <w:r w:rsidR="00203C76">
              <w:t xml:space="preserve"> other stakeholders</w:t>
            </w:r>
            <w:r>
              <w:t xml:space="preserve"> </w:t>
            </w:r>
          </w:p>
          <w:p w14:paraId="79683DED" w14:textId="0DC8A661" w:rsidR="00E96376" w:rsidRDefault="00E96376" w:rsidP="00203C76">
            <w:pPr>
              <w:pStyle w:val="BulletListDense"/>
            </w:pPr>
            <w:r>
              <w:t>Keeping up to date with current best practice/standards in relation to IPC</w:t>
            </w:r>
            <w:r w:rsidR="00203C76">
              <w:t>, for example NICE clinical guidelines</w:t>
            </w:r>
            <w:r w:rsidR="000E4402">
              <w:t xml:space="preserve">, </w:t>
            </w:r>
            <w:r w:rsidR="004A64BC">
              <w:t xml:space="preserve">National Infection </w:t>
            </w:r>
            <w:r w:rsidR="004A64BC">
              <w:lastRenderedPageBreak/>
              <w:t xml:space="preserve">Prevention and Control Manual, </w:t>
            </w:r>
            <w:r w:rsidR="00F612B6">
              <w:t>and the Health and Social Care Act 2008: code of practice, and sharing this knowledge</w:t>
            </w:r>
            <w:r w:rsidR="00D324BD">
              <w:t xml:space="preserve"> within VHG</w:t>
            </w:r>
            <w:r w:rsidR="00585074">
              <w:t xml:space="preserve"> </w:t>
            </w:r>
          </w:p>
          <w:p w14:paraId="2F1CA18A" w14:textId="34152FE3" w:rsidR="00E96376" w:rsidRDefault="00E96376" w:rsidP="00D324BD">
            <w:pPr>
              <w:pStyle w:val="BulletListDense"/>
            </w:pPr>
            <w:r>
              <w:t>Developing and delivering training on IPC</w:t>
            </w:r>
            <w:r w:rsidR="00EA11F5">
              <w:t>,</w:t>
            </w:r>
            <w:r>
              <w:t xml:space="preserve"> </w:t>
            </w:r>
            <w:r w:rsidR="00C27D94">
              <w:t xml:space="preserve">and monitoring </w:t>
            </w:r>
            <w:r w:rsidR="00EA11F5">
              <w:t>colleagues’</w:t>
            </w:r>
            <w:r w:rsidR="00C27D94">
              <w:t xml:space="preserve"> compliance to mandatory training</w:t>
            </w:r>
          </w:p>
          <w:p w14:paraId="786DE918" w14:textId="5C9BBF87" w:rsidR="00E96376" w:rsidRDefault="00E96376" w:rsidP="00C27D94">
            <w:pPr>
              <w:pStyle w:val="BulletListDense"/>
            </w:pPr>
            <w:r>
              <w:t xml:space="preserve">Investigating </w:t>
            </w:r>
            <w:r w:rsidR="00C27D94">
              <w:t>events (complaints/</w:t>
            </w:r>
            <w:r>
              <w:t>incidents</w:t>
            </w:r>
            <w:r w:rsidR="00C27D94">
              <w:t>)</w:t>
            </w:r>
            <w:r>
              <w:t xml:space="preserve"> in relation to IPC including r</w:t>
            </w:r>
            <w:r w:rsidR="00C27D94">
              <w:t>oot</w:t>
            </w:r>
            <w:r>
              <w:t xml:space="preserve"> cause analysis and action plans   </w:t>
            </w:r>
          </w:p>
          <w:p w14:paraId="2B94463D" w14:textId="7FFFFF0B" w:rsidR="00E96376" w:rsidRDefault="00E96376" w:rsidP="002E07D3">
            <w:pPr>
              <w:pStyle w:val="BulletListDense"/>
            </w:pPr>
            <w:r>
              <w:t>Working closely with the Head of Governance and Quality</w:t>
            </w:r>
            <w:r w:rsidR="00EA11F5">
              <w:t>, the</w:t>
            </w:r>
            <w:r w:rsidR="00A308CF">
              <w:t xml:space="preserve"> Compliance</w:t>
            </w:r>
            <w:r w:rsidR="002E07D3">
              <w:t xml:space="preserve"> t</w:t>
            </w:r>
            <w:r>
              <w:t xml:space="preserve">eam, </w:t>
            </w:r>
            <w:r w:rsidR="00FB28AC">
              <w:t xml:space="preserve">Estates and </w:t>
            </w:r>
            <w:r>
              <w:t>Facilities Team</w:t>
            </w:r>
            <w:r w:rsidR="00A308CF">
              <w:t>, IPC Team</w:t>
            </w:r>
            <w:r>
              <w:t xml:space="preserve"> and Health and Safety </w:t>
            </w:r>
            <w:r w:rsidR="00FB28AC">
              <w:t xml:space="preserve">Officer ensuring IPC matters </w:t>
            </w:r>
            <w:proofErr w:type="gramStart"/>
            <w:r w:rsidR="00FB28AC">
              <w:t xml:space="preserve">are </w:t>
            </w:r>
            <w:r w:rsidR="002D3A10">
              <w:t>reviewed</w:t>
            </w:r>
            <w:proofErr w:type="gramEnd"/>
            <w:r w:rsidR="00FB28AC">
              <w:t xml:space="preserve"> in c</w:t>
            </w:r>
            <w:r w:rsidR="009713E7">
              <w:t>o</w:t>
            </w:r>
            <w:r w:rsidR="00FB28AC">
              <w:t>l</w:t>
            </w:r>
            <w:r w:rsidR="00C113DF">
              <w:t>laboration</w:t>
            </w:r>
          </w:p>
          <w:p w14:paraId="72576A33" w14:textId="6F84218D" w:rsidR="00E96376" w:rsidRDefault="00E96376" w:rsidP="00C113DF">
            <w:pPr>
              <w:pStyle w:val="BulletListDense"/>
            </w:pPr>
            <w:r>
              <w:t xml:space="preserve">Challenging practice and </w:t>
            </w:r>
            <w:r w:rsidR="00C113DF">
              <w:t xml:space="preserve">championing </w:t>
            </w:r>
            <w:r>
              <w:t xml:space="preserve">standards across the business in </w:t>
            </w:r>
            <w:proofErr w:type="gramStart"/>
            <w:r>
              <w:t>a proactive</w:t>
            </w:r>
            <w:proofErr w:type="gramEnd"/>
            <w:r>
              <w:t xml:space="preserve"> manner </w:t>
            </w:r>
          </w:p>
          <w:p w14:paraId="1E9210C7" w14:textId="6F241E18" w:rsidR="00E96376" w:rsidRDefault="00E96376" w:rsidP="004145C3">
            <w:pPr>
              <w:pStyle w:val="BulletListDense"/>
            </w:pPr>
            <w:r>
              <w:t xml:space="preserve">Identifying risks in relation to IPC and </w:t>
            </w:r>
            <w:r w:rsidR="004145C3">
              <w:t>service user</w:t>
            </w:r>
            <w:r>
              <w:t xml:space="preserve"> safety; advising on mitigations/leading on implementation of mitigations </w:t>
            </w:r>
            <w:r w:rsidR="009713E7">
              <w:t>and addressing corrective actions in a timely manner</w:t>
            </w:r>
          </w:p>
          <w:p w14:paraId="1E9AAE49" w14:textId="795FE9F4" w:rsidR="005740ED" w:rsidRDefault="00E96376" w:rsidP="00D6734C">
            <w:pPr>
              <w:pStyle w:val="BulletListDense"/>
            </w:pPr>
            <w:r>
              <w:t xml:space="preserve">Developing annual IPC plan </w:t>
            </w:r>
          </w:p>
          <w:p w14:paraId="49013B4D" w14:textId="3C7E06A0" w:rsidR="00D6734C" w:rsidRPr="00D6734C" w:rsidRDefault="00D6734C" w:rsidP="00D6734C">
            <w:pPr>
              <w:pStyle w:val="BulletListDense"/>
            </w:pPr>
            <w:r>
              <w:t>Monitoring IPC Team competencies</w:t>
            </w:r>
          </w:p>
          <w:p w14:paraId="1320927A" w14:textId="37817E44" w:rsidR="00E96376" w:rsidRDefault="00E96376" w:rsidP="002F0DC5">
            <w:pPr>
              <w:pStyle w:val="BulletListDense"/>
            </w:pPr>
            <w:r>
              <w:t>Attending meetings and consulting on IPC topics</w:t>
            </w:r>
            <w:r w:rsidR="002F0DC5">
              <w:t xml:space="preserve"> as subject matter expert (SME)</w:t>
            </w:r>
            <w:r w:rsidR="00D803BE">
              <w:t xml:space="preserve"> including Governance, Quality and Risk Groups</w:t>
            </w:r>
          </w:p>
          <w:p w14:paraId="63A01D9F" w14:textId="43368D8C" w:rsidR="00E96376" w:rsidRDefault="002F0DC5" w:rsidP="002F0DC5">
            <w:pPr>
              <w:pStyle w:val="BulletListDense"/>
            </w:pPr>
            <w:r>
              <w:t>Chairing IPC specific</w:t>
            </w:r>
            <w:r w:rsidR="00E96376">
              <w:t xml:space="preserve"> meeting</w:t>
            </w:r>
            <w:r w:rsidR="00DF68C8">
              <w:t>s, leading</w:t>
            </w:r>
            <w:r w:rsidR="00F92D11">
              <w:t xml:space="preserve"> the agenda and ensuring minutes and actions </w:t>
            </w:r>
            <w:proofErr w:type="gramStart"/>
            <w:r w:rsidR="00F92D11">
              <w:t>are completed</w:t>
            </w:r>
            <w:proofErr w:type="gramEnd"/>
          </w:p>
          <w:p w14:paraId="109D4BA9" w14:textId="77777777" w:rsidR="00E96376" w:rsidRPr="003554D2" w:rsidRDefault="00E96376" w:rsidP="00F92D11">
            <w:pPr>
              <w:pStyle w:val="BulletListDense"/>
            </w:pPr>
            <w:r>
              <w:t xml:space="preserve">Any additional IPC duties identified by the Head of Governance and Quality </w:t>
            </w:r>
          </w:p>
          <w:p w14:paraId="71C434F7" w14:textId="77777777" w:rsidR="000027EE" w:rsidRPr="000027EE" w:rsidRDefault="000027EE" w:rsidP="00547A12">
            <w:pPr>
              <w:rPr>
                <w:rFonts w:eastAsia="Calibri" w:cs="Calibri"/>
                <w:szCs w:val="22"/>
              </w:rPr>
            </w:pPr>
          </w:p>
          <w:p w14:paraId="26878AA0" w14:textId="7086785B" w:rsidR="00966F66" w:rsidRPr="000027EE" w:rsidRDefault="1C047F5D" w:rsidP="00547A12">
            <w:pPr>
              <w:rPr>
                <w:b/>
                <w:bCs/>
              </w:rPr>
            </w:pPr>
            <w:r w:rsidRPr="000027E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5B0D39C4" w14:textId="1CC42D28" w:rsidR="00966F66" w:rsidRPr="000027EE" w:rsidRDefault="1C047F5D" w:rsidP="00547A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r w:rsidR="00F722AF" w:rsidRPr="000027EE">
              <w:rPr>
                <w:rFonts w:eastAsia="Calibri" w:cs="Calibri"/>
                <w:szCs w:val="22"/>
              </w:rPr>
              <w:t xml:space="preserve">. </w:t>
            </w:r>
            <w:r w:rsidRPr="000027EE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  <w:r w:rsidR="00E965E1">
              <w:rPr>
                <w:rFonts w:eastAsia="Calibri" w:cs="Calibri"/>
                <w:szCs w:val="22"/>
              </w:rPr>
              <w:t xml:space="preserve"> </w:t>
            </w:r>
            <w:r w:rsidRPr="000027EE">
              <w:t>Be aware of the impact of your behaviour on others</w:t>
            </w:r>
            <w:r w:rsidR="00E965E1">
              <w:t xml:space="preserve">. </w:t>
            </w:r>
            <w:r w:rsidRPr="000027EE">
              <w:t xml:space="preserve">Ensure that others </w:t>
            </w:r>
            <w:proofErr w:type="gramStart"/>
            <w:r w:rsidRPr="000027EE">
              <w:t>are treated</w:t>
            </w:r>
            <w:proofErr w:type="gramEnd"/>
            <w:r w:rsidRPr="000027EE">
              <w:t xml:space="preserve"> with fairness, </w:t>
            </w:r>
            <w:r w:rsidR="00F722AF" w:rsidRPr="000027EE">
              <w:t>dignity,</w:t>
            </w:r>
            <w:r w:rsidRPr="000027EE">
              <w:t xml:space="preserve"> and respect</w:t>
            </w:r>
            <w:r w:rsidR="00E965E1">
              <w:t xml:space="preserve">. </w:t>
            </w:r>
            <w:r w:rsidRPr="000027EE">
              <w:t>Maintain and develop your knowledge about what EDI is and why it is important</w:t>
            </w:r>
            <w:r w:rsidR="00E965E1">
              <w:t xml:space="preserve">. </w:t>
            </w:r>
            <w:r w:rsidRPr="000027EE">
              <w:t xml:space="preserve">Be prepared to challenge bias, </w:t>
            </w:r>
            <w:r w:rsidR="00F722AF" w:rsidRPr="000027EE">
              <w:t>discrimination,</w:t>
            </w:r>
            <w:r w:rsidRPr="000027EE">
              <w:t xml:space="preserve"> and prejudice</w:t>
            </w:r>
            <w:r w:rsidR="00E965E1">
              <w:t>,</w:t>
            </w:r>
            <w:r w:rsidRPr="000027EE">
              <w:t xml:space="preserve"> if </w:t>
            </w:r>
            <w:r w:rsidR="003168DA" w:rsidRPr="000027EE">
              <w:t>possible,</w:t>
            </w:r>
            <w:r w:rsidRPr="000027EE">
              <w:t xml:space="preserve"> to do so</w:t>
            </w:r>
            <w:r w:rsidR="00E965E1">
              <w:t>,</w:t>
            </w:r>
            <w:r w:rsidRPr="000027EE">
              <w:t xml:space="preserve"> and raise with your manager and </w:t>
            </w:r>
            <w:r w:rsidR="00624018">
              <w:t>People Services Team</w:t>
            </w:r>
            <w:r w:rsidR="00E965E1">
              <w:t xml:space="preserve">. </w:t>
            </w:r>
            <w:r w:rsidRPr="000027EE">
              <w:t xml:space="preserve">Encourage and support others to feel confident in speaking up if they have </w:t>
            </w:r>
            <w:proofErr w:type="gramStart"/>
            <w:r w:rsidRPr="000027EE">
              <w:t>been subjected</w:t>
            </w:r>
            <w:proofErr w:type="gramEnd"/>
            <w:r w:rsidRPr="000027EE">
              <w:t xml:space="preserve"> to or witnessed bias, discrimination</w:t>
            </w:r>
            <w:r w:rsidR="00624018">
              <w:t>,</w:t>
            </w:r>
            <w:r w:rsidRPr="000027EE">
              <w:t xml:space="preserve"> or prejudice</w:t>
            </w:r>
            <w:r w:rsidR="00624018">
              <w:t xml:space="preserve">. </w:t>
            </w:r>
            <w:r w:rsidRPr="000027EE">
              <w:t xml:space="preserve">Be prepared to speak up for others if you witness bias, </w:t>
            </w:r>
            <w:r w:rsidR="00F722AF" w:rsidRPr="000027EE">
              <w:t>discrimination,</w:t>
            </w:r>
            <w:r w:rsidRPr="000027EE">
              <w:t xml:space="preserve"> or prejudice</w:t>
            </w:r>
          </w:p>
          <w:p w14:paraId="44BDB607" w14:textId="5E2E4696" w:rsidR="00966F66" w:rsidRPr="000027EE" w:rsidRDefault="00966F66" w:rsidP="00547A12">
            <w:pPr>
              <w:rPr>
                <w:rFonts w:eastAsia="Tw Cen MT" w:cs="Times New Roman"/>
                <w:szCs w:val="22"/>
              </w:rPr>
            </w:pPr>
          </w:p>
        </w:tc>
      </w:tr>
      <w:tr w:rsidR="00966F66" w14:paraId="3161C07B" w14:textId="77777777" w:rsidTr="1E5E83AD">
        <w:tc>
          <w:tcPr>
            <w:tcW w:w="3256" w:type="dxa"/>
            <w:vAlign w:val="center"/>
          </w:tcPr>
          <w:p w14:paraId="5FD2413E" w14:textId="7A534F40" w:rsidR="00966F66" w:rsidRDefault="00966F66" w:rsidP="00547A12"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059AA1F9" w:rsidR="00966F66" w:rsidRDefault="00BA58A0" w:rsidP="00547A12">
            <w:pPr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As required</w:t>
            </w:r>
          </w:p>
        </w:tc>
      </w:tr>
      <w:tr w:rsidR="00966F66" w14:paraId="4004EF95" w14:textId="77777777" w:rsidTr="1E5E83AD">
        <w:tc>
          <w:tcPr>
            <w:tcW w:w="3256" w:type="dxa"/>
            <w:vAlign w:val="center"/>
          </w:tcPr>
          <w:p w14:paraId="0E220621" w14:textId="69144CB3" w:rsidR="00966F66" w:rsidRDefault="00966F66" w:rsidP="00547A12"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4DA104D" w:rsidR="00966F66" w:rsidRPr="00966F66" w:rsidRDefault="00F92D11" w:rsidP="00547A1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Some</w:t>
            </w:r>
            <w:proofErr w:type="gramEnd"/>
            <w:r w:rsidR="00BA58A0">
              <w:rPr>
                <w:color w:val="000000"/>
              </w:rPr>
              <w:t xml:space="preserve"> travel </w:t>
            </w:r>
            <w:r>
              <w:rPr>
                <w:color w:val="000000"/>
              </w:rPr>
              <w:t>to sites</w:t>
            </w:r>
            <w:r w:rsidR="00BA58A0">
              <w:rPr>
                <w:color w:val="000000"/>
              </w:rPr>
              <w:t xml:space="preserve"> </w:t>
            </w:r>
          </w:p>
        </w:tc>
      </w:tr>
    </w:tbl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Qualifications</w:t>
            </w:r>
          </w:p>
        </w:tc>
        <w:tc>
          <w:tcPr>
            <w:tcW w:w="3827" w:type="dxa"/>
          </w:tcPr>
          <w:p w14:paraId="0F145601" w14:textId="39526BD8" w:rsidR="00FA0056" w:rsidRDefault="00FA0056" w:rsidP="00FA0056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Registered nurse</w:t>
            </w:r>
            <w:r w:rsidR="008B737F">
              <w:rPr>
                <w:lang w:eastAsia="en-GB"/>
              </w:rPr>
              <w:t xml:space="preserve"> with evidence of NMC registration</w:t>
            </w:r>
          </w:p>
          <w:p w14:paraId="4315561D" w14:textId="490CCDDD" w:rsidR="00966F66" w:rsidRPr="00E11E54" w:rsidRDefault="006A4366" w:rsidP="006A4366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Educated to degree level</w:t>
            </w:r>
            <w:r w:rsidR="00FA0056" w:rsidRPr="00F26FB4">
              <w:rPr>
                <w:lang w:eastAsia="en-GB"/>
              </w:rPr>
              <w:t xml:space="preserve"> </w:t>
            </w:r>
            <w:r w:rsidR="000226FE">
              <w:rPr>
                <w:lang w:eastAsia="en-GB"/>
              </w:rPr>
              <w:t>or equivalent</w:t>
            </w:r>
          </w:p>
        </w:tc>
        <w:tc>
          <w:tcPr>
            <w:tcW w:w="3728" w:type="dxa"/>
          </w:tcPr>
          <w:p w14:paraId="249563A3" w14:textId="57E195E1" w:rsidR="00966F66" w:rsidRPr="00AC5FDD" w:rsidRDefault="00966F66" w:rsidP="00E96376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1F7F1487" w14:textId="7BB8E736" w:rsidR="00D05DCA" w:rsidRDefault="00D05DCA" w:rsidP="00D05DCA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Previous experience/ability to learn </w:t>
            </w:r>
            <w:r w:rsidR="007C1BFC">
              <w:rPr>
                <w:lang w:eastAsia="en-GB"/>
              </w:rPr>
              <w:t>service user</w:t>
            </w:r>
            <w:r>
              <w:rPr>
                <w:lang w:eastAsia="en-GB"/>
              </w:rPr>
              <w:t xml:space="preserve"> management systems </w:t>
            </w:r>
            <w:r w:rsidR="007C1BFC">
              <w:rPr>
                <w:lang w:eastAsia="en-GB"/>
              </w:rPr>
              <w:t xml:space="preserve">(electronic clinical records) </w:t>
            </w:r>
            <w:r>
              <w:rPr>
                <w:lang w:eastAsia="en-GB"/>
              </w:rPr>
              <w:t xml:space="preserve">quickly  </w:t>
            </w:r>
          </w:p>
          <w:p w14:paraId="5FB39E23" w14:textId="3D7E3E64" w:rsidR="00A47E5C" w:rsidRDefault="00A47E5C" w:rsidP="00D05DCA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Previous experience in</w:t>
            </w:r>
            <w:r w:rsidR="00440299">
              <w:rPr>
                <w:lang w:eastAsia="en-GB"/>
              </w:rPr>
              <w:t xml:space="preserve"> an</w:t>
            </w:r>
            <w:r>
              <w:rPr>
                <w:lang w:eastAsia="en-GB"/>
              </w:rPr>
              <w:t xml:space="preserve"> infection prevention </w:t>
            </w:r>
            <w:r>
              <w:rPr>
                <w:lang w:eastAsia="en-GB"/>
              </w:rPr>
              <w:t xml:space="preserve">and </w:t>
            </w:r>
            <w:r>
              <w:rPr>
                <w:lang w:eastAsia="en-GB"/>
              </w:rPr>
              <w:t xml:space="preserve">control role or undertaking IPC work </w:t>
            </w:r>
            <w:r w:rsidR="00440299">
              <w:rPr>
                <w:lang w:eastAsia="en-GB"/>
              </w:rPr>
              <w:t xml:space="preserve">as part of </w:t>
            </w:r>
            <w:r w:rsidR="00D029A9">
              <w:rPr>
                <w:lang w:eastAsia="en-GB"/>
              </w:rPr>
              <w:t>previous role</w:t>
            </w:r>
          </w:p>
          <w:p w14:paraId="3B562B01" w14:textId="2A6CC64D" w:rsidR="00966F66" w:rsidRPr="00233201" w:rsidRDefault="00D05DCA" w:rsidP="00236A48">
            <w:pPr>
              <w:pStyle w:val="BulletListDense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lang w:eastAsia="en-GB"/>
              </w:rPr>
              <w:t>Understanding the audit cycle with experience in c</w:t>
            </w:r>
            <w:r w:rsidRPr="00BE026D">
              <w:rPr>
                <w:lang w:eastAsia="en-GB"/>
              </w:rPr>
              <w:t xml:space="preserve">linical </w:t>
            </w:r>
            <w:r>
              <w:rPr>
                <w:lang w:eastAsia="en-GB"/>
              </w:rPr>
              <w:t>a</w:t>
            </w:r>
            <w:r w:rsidRPr="00BE026D">
              <w:rPr>
                <w:lang w:eastAsia="en-GB"/>
              </w:rPr>
              <w:t xml:space="preserve">udit and </w:t>
            </w:r>
            <w:r>
              <w:rPr>
                <w:lang w:eastAsia="en-GB"/>
              </w:rPr>
              <w:t>c</w:t>
            </w:r>
            <w:r w:rsidRPr="00BE026D">
              <w:rPr>
                <w:lang w:eastAsia="en-GB"/>
              </w:rPr>
              <w:t xml:space="preserve">linical </w:t>
            </w:r>
            <w:r>
              <w:rPr>
                <w:lang w:eastAsia="en-GB"/>
              </w:rPr>
              <w:t>g</w:t>
            </w:r>
            <w:r w:rsidRPr="00BE026D">
              <w:rPr>
                <w:lang w:eastAsia="en-GB"/>
              </w:rPr>
              <w:t>overnance processes</w:t>
            </w:r>
          </w:p>
        </w:tc>
        <w:tc>
          <w:tcPr>
            <w:tcW w:w="3728" w:type="dxa"/>
          </w:tcPr>
          <w:p w14:paraId="5B456901" w14:textId="77777777" w:rsidR="00776726" w:rsidRDefault="00776726" w:rsidP="00776726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Experience in quality improvement/change management projects </w:t>
            </w:r>
          </w:p>
          <w:p w14:paraId="73BCA857" w14:textId="0359443F" w:rsidR="00966F66" w:rsidRPr="007603AB" w:rsidRDefault="00966F66" w:rsidP="007603AB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</w:tc>
      </w:tr>
      <w:tr w:rsidR="00966F66" w14:paraId="6F5BC3B6" w14:textId="77777777" w:rsidTr="00E96376">
        <w:trPr>
          <w:trHeight w:val="69"/>
        </w:trPr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8F0FD2C" w14:textId="56BE9C91" w:rsidR="006A4366" w:rsidRDefault="006A4366" w:rsidP="007E2BB2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Awareness and understanding of </w:t>
            </w:r>
            <w:r w:rsidR="00E576F4">
              <w:rPr>
                <w:lang w:eastAsia="en-GB"/>
              </w:rPr>
              <w:t>regulatory and legislative standards</w:t>
            </w:r>
            <w:r w:rsidR="00AB093A">
              <w:rPr>
                <w:lang w:eastAsia="en-GB"/>
              </w:rPr>
              <w:t xml:space="preserve"> which impact the IPC agenda including Health &amp; Social Care Act 2008</w:t>
            </w:r>
            <w:r w:rsidR="00CA13BF">
              <w:rPr>
                <w:lang w:eastAsia="en-GB"/>
              </w:rPr>
              <w:t xml:space="preserve">: code of practice, the </w:t>
            </w:r>
            <w:r w:rsidR="00A1476E">
              <w:rPr>
                <w:lang w:eastAsia="en-GB"/>
              </w:rPr>
              <w:t>National Infection Prevention and Control Manual and e</w:t>
            </w:r>
            <w:r>
              <w:rPr>
                <w:lang w:eastAsia="en-GB"/>
              </w:rPr>
              <w:t>vidence-based practice</w:t>
            </w:r>
            <w:r w:rsidR="00EE02AA">
              <w:rPr>
                <w:lang w:eastAsia="en-GB"/>
              </w:rPr>
              <w:t xml:space="preserve"> </w:t>
            </w:r>
            <w:r w:rsidR="000C0CF5">
              <w:rPr>
                <w:lang w:eastAsia="en-GB"/>
              </w:rPr>
              <w:t>e.g.,</w:t>
            </w:r>
            <w:r w:rsidR="00EE02AA">
              <w:rPr>
                <w:lang w:eastAsia="en-GB"/>
              </w:rPr>
              <w:t xml:space="preserve"> NICE guidelines</w:t>
            </w:r>
            <w:r w:rsidR="00B56264">
              <w:rPr>
                <w:lang w:eastAsia="en-GB"/>
              </w:rPr>
              <w:t xml:space="preserve"> </w:t>
            </w:r>
          </w:p>
          <w:p w14:paraId="641F6F8D" w14:textId="119B3BAB" w:rsidR="00D05DCA" w:rsidRDefault="00D05DCA" w:rsidP="00D05DCA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Excellent c</w:t>
            </w:r>
            <w:r w:rsidRPr="00BE026D">
              <w:rPr>
                <w:lang w:eastAsia="en-GB"/>
              </w:rPr>
              <w:t xml:space="preserve">omputer </w:t>
            </w:r>
            <w:r>
              <w:rPr>
                <w:lang w:eastAsia="en-GB"/>
              </w:rPr>
              <w:t xml:space="preserve">skills including Microsoft </w:t>
            </w:r>
            <w:r w:rsidR="00A024FB">
              <w:rPr>
                <w:lang w:eastAsia="en-GB"/>
              </w:rPr>
              <w:t>O</w:t>
            </w:r>
            <w:r w:rsidR="00EE02AA">
              <w:rPr>
                <w:lang w:eastAsia="en-GB"/>
              </w:rPr>
              <w:t>ffice suite</w:t>
            </w:r>
          </w:p>
          <w:p w14:paraId="6C5FC91E" w14:textId="65F6A6B0" w:rsidR="00D05DCA" w:rsidRDefault="00D05DCA" w:rsidP="00D05DCA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Excellent organisational skills including ability to prioritise workload</w:t>
            </w:r>
            <w:r w:rsidR="00194845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adapt to a </w:t>
            </w:r>
            <w:proofErr w:type="gramStart"/>
            <w:r>
              <w:rPr>
                <w:lang w:eastAsia="en-GB"/>
              </w:rPr>
              <w:t>fast-paced environment</w:t>
            </w:r>
            <w:proofErr w:type="gramEnd"/>
            <w:r w:rsidR="004D088B">
              <w:rPr>
                <w:lang w:eastAsia="en-GB"/>
              </w:rPr>
              <w:t xml:space="preserve"> and effective time management</w:t>
            </w:r>
            <w:r>
              <w:rPr>
                <w:lang w:eastAsia="en-GB"/>
              </w:rPr>
              <w:t xml:space="preserve"> </w:t>
            </w:r>
          </w:p>
          <w:p w14:paraId="2F77305B" w14:textId="253EC64E" w:rsidR="00D858C5" w:rsidRPr="00264ABC" w:rsidRDefault="00D05DCA" w:rsidP="00264ABC">
            <w:pPr>
              <w:pStyle w:val="BulletListDense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 w:rsidRPr="00BE026D">
              <w:rPr>
                <w:lang w:eastAsia="en-GB"/>
              </w:rPr>
              <w:t>Teaching and presentation skills</w:t>
            </w:r>
          </w:p>
        </w:tc>
        <w:tc>
          <w:tcPr>
            <w:tcW w:w="3728" w:type="dxa"/>
          </w:tcPr>
          <w:p w14:paraId="236BB4AC" w14:textId="77777777" w:rsidR="00776726" w:rsidRDefault="00776726" w:rsidP="00776726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Experience in designing and delivering training  </w:t>
            </w:r>
          </w:p>
          <w:p w14:paraId="38BAA6F0" w14:textId="7D52E52E" w:rsidR="00776726" w:rsidRDefault="00776726" w:rsidP="00776726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Previous use of </w:t>
            </w:r>
            <w:r w:rsidR="003168DA">
              <w:rPr>
                <w:lang w:eastAsia="en-GB"/>
              </w:rPr>
              <w:t>Power-BI</w:t>
            </w:r>
            <w:r>
              <w:rPr>
                <w:lang w:eastAsia="en-GB"/>
              </w:rPr>
              <w:t>, MS forms, Radar</w:t>
            </w:r>
            <w:r w:rsidR="00A1164C">
              <w:rPr>
                <w:lang w:eastAsia="en-GB"/>
              </w:rPr>
              <w:t xml:space="preserve"> Healthcare </w:t>
            </w:r>
            <w:r w:rsidR="00E32E56">
              <w:rPr>
                <w:lang w:eastAsia="en-GB"/>
              </w:rPr>
              <w:t>(</w:t>
            </w:r>
            <w:r w:rsidR="00A1164C">
              <w:rPr>
                <w:lang w:eastAsia="en-GB"/>
              </w:rPr>
              <w:t>or other risk management system</w:t>
            </w:r>
            <w:r w:rsidR="00E32E56">
              <w:rPr>
                <w:lang w:eastAsia="en-GB"/>
              </w:rPr>
              <w:t>)</w:t>
            </w:r>
          </w:p>
          <w:p w14:paraId="70CA88A3" w14:textId="115173A7" w:rsidR="00A1164C" w:rsidRPr="004B42E1" w:rsidRDefault="00A1164C" w:rsidP="00776726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Understand</w:t>
            </w:r>
            <w:r w:rsidR="00B56264">
              <w:rPr>
                <w:lang w:eastAsia="en-GB"/>
              </w:rPr>
              <w:t xml:space="preserve">ing the </w:t>
            </w:r>
            <w:r>
              <w:rPr>
                <w:lang w:eastAsia="en-GB"/>
              </w:rPr>
              <w:t>CQC fundamental standards</w:t>
            </w:r>
            <w:r w:rsidR="00B56264">
              <w:rPr>
                <w:lang w:eastAsia="en-GB"/>
              </w:rPr>
              <w:t xml:space="preserve"> that relate to IPC</w:t>
            </w:r>
          </w:p>
          <w:p w14:paraId="486729C8" w14:textId="77777777" w:rsidR="00776726" w:rsidRDefault="00776726" w:rsidP="00776726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0A86D72C" w14:textId="38A07611" w:rsidR="007603AB" w:rsidRPr="007603AB" w:rsidRDefault="007603AB" w:rsidP="00E96376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</w:tc>
      </w:tr>
      <w:tr w:rsidR="00966F66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6B9A0050" w14:textId="42400B02" w:rsidR="006A4366" w:rsidRDefault="006A4366" w:rsidP="00D05DCA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 w:rsidRPr="00F26FB4">
              <w:rPr>
                <w:lang w:eastAsia="en-GB"/>
              </w:rPr>
              <w:t>Infection Prevention and Control qualification</w:t>
            </w:r>
            <w:r>
              <w:rPr>
                <w:lang w:eastAsia="en-GB"/>
              </w:rPr>
              <w:t>,</w:t>
            </w:r>
            <w:r w:rsidRPr="00F26FB4">
              <w:rPr>
                <w:lang w:eastAsia="en-GB"/>
              </w:rPr>
              <w:t xml:space="preserve"> course</w:t>
            </w:r>
            <w:r>
              <w:rPr>
                <w:lang w:eastAsia="en-GB"/>
              </w:rPr>
              <w:t xml:space="preserve"> or working towards </w:t>
            </w:r>
            <w:r w:rsidR="00591BF2">
              <w:rPr>
                <w:lang w:eastAsia="en-GB"/>
              </w:rPr>
              <w:t>this (equivalent experience considered)</w:t>
            </w:r>
          </w:p>
          <w:p w14:paraId="4102B15E" w14:textId="72F30EBB" w:rsidR="00966F66" w:rsidRPr="00AC5FDD" w:rsidRDefault="00D05DCA" w:rsidP="007E0C04">
            <w:pPr>
              <w:pStyle w:val="BulletListDense"/>
              <w:numPr>
                <w:ilvl w:val="0"/>
                <w:numId w:val="9"/>
              </w:numPr>
              <w:rPr>
                <w:rFonts w:cs="Calibri"/>
                <w:szCs w:val="22"/>
              </w:rPr>
            </w:pPr>
            <w:r w:rsidRPr="00BE026D">
              <w:rPr>
                <w:lang w:eastAsia="en-GB"/>
              </w:rPr>
              <w:t>Commitment to Continued Professional Development</w:t>
            </w:r>
            <w:r>
              <w:rPr>
                <w:lang w:eastAsia="en-GB"/>
              </w:rPr>
              <w:t xml:space="preserve"> (CPD) </w:t>
            </w:r>
            <w:r w:rsidR="007E0C04">
              <w:rPr>
                <w:lang w:eastAsia="en-GB"/>
              </w:rPr>
              <w:t xml:space="preserve">and learning </w:t>
            </w:r>
            <w:r>
              <w:rPr>
                <w:lang w:eastAsia="en-GB"/>
              </w:rPr>
              <w:t xml:space="preserve">with evidence </w:t>
            </w:r>
          </w:p>
        </w:tc>
        <w:tc>
          <w:tcPr>
            <w:tcW w:w="3728" w:type="dxa"/>
          </w:tcPr>
          <w:p w14:paraId="1F5B2756" w14:textId="348B5958" w:rsidR="00966F66" w:rsidRPr="00AC5FDD" w:rsidRDefault="00966F66" w:rsidP="00776726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14CE726" w14:textId="64199F25" w:rsidR="006A4366" w:rsidRDefault="006A4366" w:rsidP="006A4366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Able to l</w:t>
            </w:r>
            <w:r w:rsidRPr="00BE026D">
              <w:rPr>
                <w:lang w:eastAsia="en-GB"/>
              </w:rPr>
              <w:t>ead by example</w:t>
            </w:r>
            <w:r>
              <w:rPr>
                <w:lang w:eastAsia="en-GB"/>
              </w:rPr>
              <w:t xml:space="preserve"> and clinically reason change</w:t>
            </w:r>
            <w:r w:rsidR="008A331E">
              <w:rPr>
                <w:lang w:eastAsia="en-GB"/>
              </w:rPr>
              <w:t>s in practice</w:t>
            </w:r>
          </w:p>
          <w:p w14:paraId="7EA6911C" w14:textId="77777777" w:rsidR="006A4366" w:rsidRPr="00BE026D" w:rsidRDefault="006A4366" w:rsidP="006A4366">
            <w:pPr>
              <w:pStyle w:val="BulletListDense"/>
              <w:rPr>
                <w:lang w:eastAsia="en-GB"/>
              </w:rPr>
            </w:pPr>
            <w:r w:rsidRPr="00BE026D">
              <w:rPr>
                <w:lang w:eastAsia="en-GB"/>
              </w:rPr>
              <w:t>Ability to work autonomously and as part of a multi-disciplinary team</w:t>
            </w:r>
          </w:p>
          <w:p w14:paraId="586A7516" w14:textId="77777777" w:rsidR="00D05DCA" w:rsidRPr="00BE026D" w:rsidRDefault="00D05DCA" w:rsidP="00D05DCA">
            <w:pPr>
              <w:pStyle w:val="BulletListDense"/>
              <w:rPr>
                <w:lang w:eastAsia="en-GB"/>
              </w:rPr>
            </w:pPr>
            <w:r w:rsidRPr="00BE026D">
              <w:rPr>
                <w:lang w:eastAsia="en-GB"/>
              </w:rPr>
              <w:t>Excellent communication skills written and verbal</w:t>
            </w:r>
            <w:r>
              <w:rPr>
                <w:lang w:eastAsia="en-GB"/>
              </w:rPr>
              <w:t xml:space="preserve"> with ability to communicate with various stakeholders</w:t>
            </w:r>
          </w:p>
          <w:p w14:paraId="21FB89F2" w14:textId="1124B90A" w:rsidR="00966F66" w:rsidRPr="00233201" w:rsidRDefault="00D05DCA" w:rsidP="00264ABC">
            <w:pPr>
              <w:pStyle w:val="BulletListDense"/>
              <w:rPr>
                <w:rFonts w:cs="Calibri"/>
              </w:rPr>
            </w:pPr>
            <w:r>
              <w:lastRenderedPageBreak/>
              <w:t>Willingness to travel, which may include overnight stays on occasion, as and when required</w:t>
            </w:r>
          </w:p>
        </w:tc>
        <w:tc>
          <w:tcPr>
            <w:tcW w:w="3728" w:type="dxa"/>
          </w:tcPr>
          <w:p w14:paraId="49E7C29C" w14:textId="77777777" w:rsidR="00966F66" w:rsidRPr="007603AB" w:rsidRDefault="00966F66" w:rsidP="007603AB">
            <w:pPr>
              <w:spacing w:beforeLines="100" w:before="240" w:afterLines="100" w:after="240"/>
              <w:ind w:left="360"/>
              <w:rPr>
                <w:rFonts w:cs="Calibri"/>
                <w:szCs w:val="22"/>
              </w:rPr>
            </w:pPr>
          </w:p>
        </w:tc>
      </w:tr>
    </w:tbl>
    <w:p w14:paraId="0ED9B29F" w14:textId="588B5674" w:rsidR="00966F66" w:rsidRDefault="00966F66" w:rsidP="00966F66"/>
    <w:p w14:paraId="3F74C402" w14:textId="77777777" w:rsidR="00AB235F" w:rsidRDefault="00AB235F" w:rsidP="00AB235F">
      <w:pPr>
        <w:pStyle w:val="Heading2"/>
        <w:rPr>
          <w:lang w:eastAsia="en-GB"/>
        </w:rPr>
      </w:pPr>
      <w:r w:rsidRPr="001E76D3">
        <w:rPr>
          <w:lang w:eastAsia="en-GB"/>
        </w:rPr>
        <w:t>Why Vita Health Group?</w:t>
      </w:r>
    </w:p>
    <w:p w14:paraId="2698D6B8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Vita Health Group celebrates life. Improving lives physically and mentally drives everything we do.</w:t>
      </w:r>
    </w:p>
    <w:p w14:paraId="50721D58" w14:textId="35813D8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483D37">
        <w:rPr>
          <w:rFonts w:eastAsia="Times New Roman" w:cstheme="minorHAnsi"/>
          <w:kern w:val="0"/>
          <w:lang w:eastAsia="en-GB"/>
        </w:rPr>
        <w:t>We are physical and mental health specialists with over 30 years of experience</w:t>
      </w:r>
      <w:r w:rsidR="00F722AF" w:rsidRPr="00483D37">
        <w:rPr>
          <w:rFonts w:eastAsia="Times New Roman" w:cstheme="minorHAnsi"/>
          <w:kern w:val="0"/>
          <w:lang w:eastAsia="en-GB"/>
        </w:rPr>
        <w:t xml:space="preserve">. </w:t>
      </w:r>
      <w:r w:rsidRPr="00483D37">
        <w:rPr>
          <w:rFonts w:eastAsia="Times New Roman" w:cstheme="minorHAnsi"/>
          <w:kern w:val="0"/>
          <w:lang w:eastAsia="en-GB"/>
        </w:rPr>
        <w:t xml:space="preserve">We work in partnership with the NHS, are engaged by insurers and </w:t>
      </w:r>
      <w:proofErr w:type="gramStart"/>
      <w:r w:rsidRPr="00483D37">
        <w:rPr>
          <w:rFonts w:eastAsia="Times New Roman" w:cstheme="minorHAnsi"/>
          <w:kern w:val="0"/>
          <w:lang w:eastAsia="en-GB"/>
        </w:rPr>
        <w:t>some of</w:t>
      </w:r>
      <w:proofErr w:type="gramEnd"/>
      <w:r w:rsidRPr="00483D37">
        <w:rPr>
          <w:rFonts w:eastAsia="Times New Roman" w:cstheme="minorHAnsi"/>
          <w:kern w:val="0"/>
          <w:lang w:eastAsia="en-GB"/>
        </w:rPr>
        <w:t xml:space="preserve"> the UK’s largest corporate companies to support their workforce and provide a full range of </w:t>
      </w:r>
      <w:r w:rsidR="00AA1DDC">
        <w:rPr>
          <w:rFonts w:eastAsia="Times New Roman" w:cstheme="minorHAnsi"/>
          <w:kern w:val="0"/>
          <w:lang w:eastAsia="en-GB"/>
        </w:rPr>
        <w:t>mental and phy</w:t>
      </w:r>
      <w:r w:rsidR="00FE79B8">
        <w:rPr>
          <w:rFonts w:eastAsia="Times New Roman" w:cstheme="minorHAnsi"/>
          <w:kern w:val="0"/>
          <w:lang w:eastAsia="en-GB"/>
        </w:rPr>
        <w:t>sical health</w:t>
      </w:r>
      <w:r w:rsidRPr="00483D37">
        <w:rPr>
          <w:rFonts w:eastAsia="Times New Roman" w:cstheme="minorHAnsi"/>
          <w:kern w:val="0"/>
          <w:lang w:eastAsia="en-GB"/>
        </w:rPr>
        <w:t xml:space="preserve"> services to </w:t>
      </w:r>
      <w:r w:rsidR="00FE79B8">
        <w:rPr>
          <w:rFonts w:eastAsia="Times New Roman" w:cstheme="minorHAnsi"/>
          <w:kern w:val="0"/>
          <w:lang w:eastAsia="en-GB"/>
        </w:rPr>
        <w:t>our</w:t>
      </w:r>
      <w:r w:rsidRPr="00483D37">
        <w:rPr>
          <w:rFonts w:eastAsia="Times New Roman" w:cstheme="minorHAnsi"/>
          <w:kern w:val="0"/>
          <w:lang w:eastAsia="en-GB"/>
        </w:rPr>
        <w:t xml:space="preserve"> customers.</w:t>
      </w:r>
      <w:r>
        <w:rPr>
          <w:rFonts w:eastAsia="Times New Roman" w:cstheme="minorHAnsi"/>
          <w:kern w:val="0"/>
          <w:lang w:eastAsia="en-GB"/>
        </w:rPr>
        <w:t xml:space="preserve"> </w:t>
      </w:r>
    </w:p>
    <w:p w14:paraId="44DCA444" w14:textId="7928CD9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To achieve our mission of </w:t>
      </w:r>
      <w:r w:rsidRPr="00CE2542">
        <w:rPr>
          <w:rFonts w:eastAsia="Times New Roman" w:cstheme="minorHAnsi"/>
          <w:b/>
          <w:bCs/>
          <w:kern w:val="0"/>
          <w:lang w:eastAsia="en-GB"/>
        </w:rPr>
        <w:t>making people better</w:t>
      </w:r>
      <w:r w:rsidRPr="00CE2542">
        <w:rPr>
          <w:rFonts w:eastAsia="Times New Roman" w:cstheme="minorHAnsi"/>
          <w:kern w:val="0"/>
          <w:lang w:eastAsia="en-GB"/>
        </w:rPr>
        <w:t xml:space="preserve">, we recognise the importance of investing in our </w:t>
      </w:r>
      <w:r w:rsidR="007F105F">
        <w:rPr>
          <w:rFonts w:eastAsia="Times New Roman" w:cstheme="minorHAnsi"/>
          <w:kern w:val="0"/>
          <w:lang w:eastAsia="en-GB"/>
        </w:rPr>
        <w:t>colleagues</w:t>
      </w:r>
      <w:r w:rsidRPr="00CE2542">
        <w:rPr>
          <w:rFonts w:eastAsia="Times New Roman" w:cstheme="minorHAnsi"/>
          <w:kern w:val="0"/>
          <w:lang w:eastAsia="en-GB"/>
        </w:rPr>
        <w:t xml:space="preserve">. In addition to a competitive salary, we also offer the opportunity of a flexible work life balance and a comprehensive benefits package which you can view here: </w:t>
      </w:r>
      <w:hyperlink r:id="rId13" w:history="1">
        <w:r w:rsidRPr="00CE2542">
          <w:rPr>
            <w:rFonts w:eastAsia="Times New Roman" w:cstheme="minorHAnsi"/>
            <w:color w:val="0000FF"/>
            <w:kern w:val="0"/>
            <w:u w:val="single"/>
            <w:lang w:eastAsia="en-GB"/>
          </w:rPr>
          <w:t>https://www.vitahealthgroup.co.uk/join-us/careers/</w:t>
        </w:r>
      </w:hyperlink>
    </w:p>
    <w:p w14:paraId="5F96A2BD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To progress your skills and enable career development we provide Continued Professional Development opportunities including secondments, management training, a mentoring scheme and regular events and webinars across a range of clinical disciplines.</w:t>
      </w:r>
    </w:p>
    <w:p w14:paraId="30EE04ED" w14:textId="52480143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Vita Health Group is proud to be an equal opportunities employer</w:t>
      </w:r>
      <w:r w:rsidR="006E3219" w:rsidRPr="00CE2542">
        <w:rPr>
          <w:rFonts w:eastAsia="Times New Roman" w:cstheme="minorHAnsi"/>
          <w:kern w:val="0"/>
          <w:lang w:eastAsia="en-GB"/>
        </w:rPr>
        <w:t xml:space="preserve">. </w:t>
      </w:r>
      <w:r w:rsidRPr="00CE2542">
        <w:rPr>
          <w:rFonts w:eastAsia="Times New Roman" w:cstheme="minorHAnsi"/>
          <w:kern w:val="0"/>
          <w:lang w:eastAsia="en-GB"/>
        </w:rPr>
        <w:t>We are committed to Equality, Diversity &amp; Inclusion best practice and positively encourage applications from candidates regardless of sex, race, disability, age, sexual orientation, gender identity, religion/belief, marital status, or pregnancy/maternity</w:t>
      </w:r>
      <w:r w:rsidR="006E3219" w:rsidRPr="00CE2542">
        <w:rPr>
          <w:rFonts w:eastAsia="Times New Roman" w:cstheme="minorHAnsi"/>
          <w:kern w:val="0"/>
          <w:lang w:eastAsia="en-GB"/>
        </w:rPr>
        <w:t xml:space="preserve">. </w:t>
      </w:r>
      <w:r w:rsidRPr="00CE2542">
        <w:rPr>
          <w:rFonts w:eastAsia="Times New Roman" w:cstheme="minorHAnsi"/>
          <w:kern w:val="0"/>
          <w:lang w:eastAsia="en-GB"/>
        </w:rPr>
        <w:t xml:space="preserve">To support </w:t>
      </w:r>
      <w:r w:rsidR="001E08BF" w:rsidRPr="00CE2542">
        <w:rPr>
          <w:rFonts w:eastAsia="Times New Roman" w:cstheme="minorHAnsi"/>
          <w:kern w:val="0"/>
          <w:lang w:eastAsia="en-GB"/>
        </w:rPr>
        <w:t>this,</w:t>
      </w:r>
      <w:r w:rsidRPr="00CE2542">
        <w:rPr>
          <w:rFonts w:eastAsia="Times New Roman" w:cstheme="minorHAnsi"/>
          <w:kern w:val="0"/>
          <w:lang w:eastAsia="en-GB"/>
        </w:rPr>
        <w:t xml:space="preserve"> we have a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dedicated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team of EDI specialists and run a range of active in-house diversity networks.</w:t>
      </w:r>
    </w:p>
    <w:p w14:paraId="363FD0E3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We are actively seeking to increase the diversity of our workforce, to ensure we are representative of the communities we serve at all levels. We therefore welcome applications from candidates with a wide range of lived experience.</w:t>
      </w:r>
    </w:p>
    <w:p w14:paraId="493D77AB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We are committed to equitably support the wellbeing of all employees as demonstrated by:</w:t>
      </w:r>
    </w:p>
    <w:p w14:paraId="5624C7D7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Our association with the MINDFUL EMPLOYER Charter for Employers who are Positive About Mental Health.</w:t>
      </w:r>
    </w:p>
    <w:p w14:paraId="5C137273" w14:textId="77777777" w:rsidR="00AB235F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 xml:space="preserve">Our status as a Disability Confident Employer dedicated to ensuring that all candidates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are treated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fairly throughout the recruitment process. All disabled candidates that meet the minimum essential criteria will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be invited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to interview.</w:t>
      </w:r>
    </w:p>
    <w:p w14:paraId="711A7C77" w14:textId="77777777" w:rsidR="00AB235F" w:rsidRPr="00483D37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483D37">
        <w:rPr>
          <w:rFonts w:eastAsia="Times New Roman" w:cstheme="minorHAnsi"/>
          <w:kern w:val="0"/>
          <w:lang w:eastAsia="en-GB"/>
        </w:rPr>
        <w:t xml:space="preserve">Our Ethnicity Matters Scheme where all applicants for senior roles (£40,000+) from a minority ethnic group that meet the essential criteria will </w:t>
      </w:r>
      <w:proofErr w:type="gramStart"/>
      <w:r w:rsidRPr="00483D37">
        <w:rPr>
          <w:rFonts w:eastAsia="Times New Roman" w:cstheme="minorHAnsi"/>
          <w:kern w:val="0"/>
          <w:lang w:eastAsia="en-GB"/>
        </w:rPr>
        <w:t>be invited</w:t>
      </w:r>
      <w:proofErr w:type="gramEnd"/>
      <w:r w:rsidRPr="00483D37">
        <w:rPr>
          <w:rFonts w:eastAsia="Times New Roman" w:cstheme="minorHAnsi"/>
          <w:kern w:val="0"/>
          <w:lang w:eastAsia="en-GB"/>
        </w:rPr>
        <w:t xml:space="preserve"> for interview.</w:t>
      </w:r>
    </w:p>
    <w:p w14:paraId="2025E781" w14:textId="77777777" w:rsidR="00AB235F" w:rsidRPr="00483D37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483D37">
        <w:rPr>
          <w:rFonts w:eastAsia="Times New Roman" w:cstheme="minorHAnsi"/>
          <w:kern w:val="0"/>
          <w:lang w:eastAsia="en-GB"/>
        </w:rPr>
        <w:t>Our sign up to the Armed Forces Covenant.</w:t>
      </w:r>
    </w:p>
    <w:p w14:paraId="692F0685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Our status as a Menopause Friendly Committed employer.</w:t>
      </w:r>
    </w:p>
    <w:p w14:paraId="4C1A012B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Our sign up to the Employer with Heart Charter.</w:t>
      </w:r>
    </w:p>
    <w:p w14:paraId="1CABBB32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Our commitment to meet the standards outlined in the NHS Equality Delivery System (EDS). Workforce Race Equality Standard (WRES) and Workforce Disability Equality Standard (WDES).</w:t>
      </w:r>
    </w:p>
    <w:p w14:paraId="03392836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The provision of access to health and wellbeing services for colleagues which includes a team of trained Mental Health Advocates and an Employee Assistance Programme.</w:t>
      </w:r>
    </w:p>
    <w:p w14:paraId="42C85830" w14:textId="77777777" w:rsidR="00AB235F" w:rsidRPr="00CE2542" w:rsidRDefault="00AB235F" w:rsidP="00AB23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>An embedded “speaking up” culture facilitated by Freedom to Speak Up Guardians.</w:t>
      </w:r>
    </w:p>
    <w:p w14:paraId="1AEC089A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lastRenderedPageBreak/>
        <w:t>Should you wish to discuss any adjustment or assistance you might need in the application or interview process please contact </w:t>
      </w:r>
      <w:hyperlink r:id="rId14" w:history="1">
        <w:r w:rsidRPr="00CE2542">
          <w:rPr>
            <w:rFonts w:eastAsia="Times New Roman" w:cstheme="minorHAnsi"/>
            <w:color w:val="0000FF"/>
            <w:kern w:val="0"/>
            <w:u w:val="single"/>
            <w:lang w:eastAsia="en-GB"/>
          </w:rPr>
          <w:t>recruitment@vhg.co.uk</w:t>
        </w:r>
      </w:hyperlink>
      <w:r w:rsidRPr="00CE2542">
        <w:rPr>
          <w:rFonts w:eastAsia="Times New Roman" w:cstheme="minorHAnsi"/>
          <w:kern w:val="0"/>
          <w:lang w:eastAsia="en-GB"/>
        </w:rPr>
        <w:t> and we will arrange.</w:t>
      </w:r>
    </w:p>
    <w:p w14:paraId="6C12BA49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 xml:space="preserve">VHG is committed to supporting transgender individuals with dignity and recognises the potential complications that may arise when taking references. We encourage applicants to contact HR at </w:t>
      </w:r>
      <w:hyperlink r:id="rId15" w:history="1">
        <w:r w:rsidRPr="00CE2542">
          <w:rPr>
            <w:rFonts w:eastAsia="Times New Roman" w:cstheme="minorHAnsi"/>
            <w:color w:val="0000FF"/>
            <w:kern w:val="0"/>
            <w:u w:val="single"/>
            <w:lang w:eastAsia="en-GB"/>
          </w:rPr>
          <w:t>hr@vhg.co.uk</w:t>
        </w:r>
      </w:hyperlink>
      <w:r w:rsidRPr="00CE2542">
        <w:rPr>
          <w:rFonts w:eastAsia="Times New Roman" w:cstheme="minorHAnsi"/>
          <w:kern w:val="0"/>
          <w:lang w:eastAsia="en-GB"/>
        </w:rPr>
        <w:t xml:space="preserve"> to discuss or amend how we manage reference requests.</w:t>
      </w:r>
    </w:p>
    <w:p w14:paraId="25816128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 xml:space="preserve">Please note, all applicants must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be legally entitled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to accept and perform work in the UK and all positions are subject to a DBS check. </w:t>
      </w:r>
    </w:p>
    <w:p w14:paraId="6F78FEE4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 xml:space="preserve">Any data which you share with us throughout the hiring process will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be stored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securely within the UK and is accessible only by staff who require it. Should your application be unsuccessful, your data will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be securely destroyed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 xml:space="preserve"> after 6 months. </w:t>
      </w:r>
    </w:p>
    <w:p w14:paraId="0FD755FC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kern w:val="0"/>
          <w:lang w:eastAsia="en-GB"/>
        </w:rPr>
        <w:t xml:space="preserve">Vita Health Group reserves the right to close this job when sufficient applications have </w:t>
      </w:r>
      <w:proofErr w:type="gramStart"/>
      <w:r w:rsidRPr="00CE2542">
        <w:rPr>
          <w:rFonts w:eastAsia="Times New Roman" w:cstheme="minorHAnsi"/>
          <w:kern w:val="0"/>
          <w:lang w:eastAsia="en-GB"/>
        </w:rPr>
        <w:t>been received</w:t>
      </w:r>
      <w:proofErr w:type="gramEnd"/>
      <w:r w:rsidRPr="00CE2542">
        <w:rPr>
          <w:rFonts w:eastAsia="Times New Roman" w:cstheme="minorHAnsi"/>
          <w:kern w:val="0"/>
          <w:lang w:eastAsia="en-GB"/>
        </w:rPr>
        <w:t>.</w:t>
      </w:r>
    </w:p>
    <w:p w14:paraId="530A606A" w14:textId="77777777" w:rsidR="00AB235F" w:rsidRPr="00CE2542" w:rsidRDefault="00AB235F" w:rsidP="00AB23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</w:rPr>
      </w:pPr>
      <w:r w:rsidRPr="00CE2542">
        <w:rPr>
          <w:rFonts w:eastAsia="Times New Roman" w:cstheme="minorHAnsi"/>
          <w:noProof/>
          <w:kern w:val="0"/>
          <w:lang w:eastAsia="en-GB"/>
        </w:rPr>
        <w:drawing>
          <wp:anchor distT="0" distB="0" distL="114300" distR="114300" simplePos="0" relativeHeight="251660288" behindDoc="0" locked="0" layoutInCell="1" allowOverlap="1" wp14:anchorId="0F4ECEED" wp14:editId="5D652014">
            <wp:simplePos x="0" y="0"/>
            <wp:positionH relativeFrom="column">
              <wp:posOffset>1756410</wp:posOffset>
            </wp:positionH>
            <wp:positionV relativeFrom="paragraph">
              <wp:posOffset>147955</wp:posOffset>
            </wp:positionV>
            <wp:extent cx="1554480" cy="1088136"/>
            <wp:effectExtent l="0" t="0" r="7620" b="0"/>
            <wp:wrapNone/>
            <wp:docPr id="25" name="Picture 2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542">
        <w:rPr>
          <w:rFonts w:eastAsia="Times New Roman" w:cstheme="minorHAnsi"/>
          <w:noProof/>
          <w:kern w:val="0"/>
          <w:lang w:eastAsia="en-GB"/>
        </w:rPr>
        <w:drawing>
          <wp:anchor distT="0" distB="0" distL="114300" distR="114300" simplePos="0" relativeHeight="251659264" behindDoc="0" locked="0" layoutInCell="1" allowOverlap="1" wp14:anchorId="0B8C9222" wp14:editId="2ACEE74A">
            <wp:simplePos x="0" y="0"/>
            <wp:positionH relativeFrom="column">
              <wp:posOffset>-102870</wp:posOffset>
            </wp:positionH>
            <wp:positionV relativeFrom="paragraph">
              <wp:posOffset>151765</wp:posOffset>
            </wp:positionV>
            <wp:extent cx="1592580" cy="1169377"/>
            <wp:effectExtent l="0" t="0" r="7620" b="0"/>
            <wp:wrapNone/>
            <wp:docPr id="21" name="Picture 2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542">
        <w:rPr>
          <w:rFonts w:eastAsia="Times New Roman" w:cstheme="minorHAnsi"/>
          <w:noProof/>
          <w:kern w:val="0"/>
          <w:lang w:eastAsia="en-GB"/>
        </w:rPr>
        <w:drawing>
          <wp:anchor distT="0" distB="0" distL="114300" distR="114300" simplePos="0" relativeHeight="251661312" behindDoc="0" locked="0" layoutInCell="1" allowOverlap="1" wp14:anchorId="5E8BB98E" wp14:editId="315A54DA">
            <wp:simplePos x="0" y="0"/>
            <wp:positionH relativeFrom="column">
              <wp:posOffset>3707130</wp:posOffset>
            </wp:positionH>
            <wp:positionV relativeFrom="paragraph">
              <wp:posOffset>216535</wp:posOffset>
            </wp:positionV>
            <wp:extent cx="861060" cy="1051560"/>
            <wp:effectExtent l="0" t="0" r="0" b="0"/>
            <wp:wrapNone/>
            <wp:docPr id="6" name="Picture 6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2542">
        <w:rPr>
          <w:rFonts w:cstheme="minorHAnsi"/>
          <w:noProof/>
        </w:rPr>
        <w:drawing>
          <wp:inline distT="0" distB="0" distL="0" distR="0" wp14:anchorId="717607FC" wp14:editId="581D31C0">
            <wp:extent cx="144780" cy="1447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2">
        <w:rPr>
          <w:rFonts w:eastAsia="Times New Roman" w:cstheme="minorHAnsi"/>
          <w:kern w:val="0"/>
          <w:lang w:eastAsia="en-GB"/>
        </w:rPr>
        <w:t>​  </w:t>
      </w:r>
      <w:r w:rsidRPr="00CE2542">
        <w:rPr>
          <w:rFonts w:cstheme="minorHAnsi"/>
          <w:noProof/>
        </w:rPr>
        <w:drawing>
          <wp:inline distT="0" distB="0" distL="0" distR="0" wp14:anchorId="730A7F78" wp14:editId="74C90DEF">
            <wp:extent cx="144780" cy="1447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2">
        <w:rPr>
          <w:rFonts w:eastAsia="Times New Roman" w:cstheme="minorHAnsi"/>
          <w:kern w:val="0"/>
          <w:lang w:eastAsia="en-GB"/>
        </w:rPr>
        <w:t>​  </w:t>
      </w:r>
      <w:r w:rsidRPr="00CE2542">
        <w:rPr>
          <w:rFonts w:cstheme="minorHAnsi"/>
          <w:noProof/>
        </w:rPr>
        <w:drawing>
          <wp:inline distT="0" distB="0" distL="0" distR="0" wp14:anchorId="60288707" wp14:editId="0DD10577">
            <wp:extent cx="144780" cy="144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2">
        <w:rPr>
          <w:rFonts w:eastAsia="Times New Roman" w:cstheme="minorHAnsi"/>
          <w:kern w:val="0"/>
          <w:lang w:eastAsia="en-GB"/>
        </w:rPr>
        <w:t>​  </w:t>
      </w:r>
      <w:r w:rsidRPr="00CE2542">
        <w:rPr>
          <w:rFonts w:cstheme="minorHAnsi"/>
          <w:noProof/>
        </w:rPr>
        <w:drawing>
          <wp:inline distT="0" distB="0" distL="0" distR="0" wp14:anchorId="26CB6B9E" wp14:editId="64EC4784">
            <wp:extent cx="144780" cy="144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2">
        <w:rPr>
          <w:rFonts w:eastAsia="Times New Roman" w:cstheme="minorHAnsi"/>
          <w:kern w:val="0"/>
          <w:lang w:eastAsia="en-GB"/>
        </w:rPr>
        <w:t>​  </w:t>
      </w:r>
      <w:r w:rsidRPr="00CE2542">
        <w:rPr>
          <w:rFonts w:cstheme="minorHAnsi"/>
          <w:noProof/>
        </w:rPr>
        <w:drawing>
          <wp:inline distT="0" distB="0" distL="0" distR="0" wp14:anchorId="578078DB" wp14:editId="76A94498">
            <wp:extent cx="144780" cy="1447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2">
        <w:rPr>
          <w:rFonts w:eastAsia="Times New Roman" w:cstheme="minorHAnsi"/>
          <w:kern w:val="0"/>
          <w:lang w:eastAsia="en-GB"/>
        </w:rPr>
        <w:t>​</w:t>
      </w:r>
    </w:p>
    <w:p w14:paraId="5021A15E" w14:textId="77777777" w:rsidR="00AB235F" w:rsidRPr="00CE2542" w:rsidRDefault="00AB235F" w:rsidP="00AB235F">
      <w:pPr>
        <w:rPr>
          <w:rFonts w:cstheme="minorHAnsi"/>
        </w:rPr>
      </w:pPr>
      <w:r w:rsidRPr="00CE2542">
        <w:rPr>
          <w:rFonts w:eastAsia="Times New Roman" w:cstheme="minorHAnsi"/>
          <w:noProof/>
          <w:kern w:val="0"/>
          <w:lang w:eastAsia="en-GB"/>
        </w:rPr>
        <w:drawing>
          <wp:anchor distT="0" distB="0" distL="114300" distR="114300" simplePos="0" relativeHeight="251662336" behindDoc="0" locked="0" layoutInCell="1" allowOverlap="1" wp14:anchorId="56B96FA8" wp14:editId="22FD645D">
            <wp:simplePos x="0" y="0"/>
            <wp:positionH relativeFrom="column">
              <wp:posOffset>5021580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24" name="Picture 2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86B57" w14:textId="77777777" w:rsidR="00AB235F" w:rsidRDefault="00AB235F" w:rsidP="00AB235F">
      <w:pPr>
        <w:rPr>
          <w:lang w:eastAsia="en-GB"/>
        </w:rPr>
      </w:pPr>
    </w:p>
    <w:p w14:paraId="507ABA6D" w14:textId="77777777" w:rsidR="00AB235F" w:rsidRPr="00483D37" w:rsidRDefault="00AB235F" w:rsidP="00AB235F">
      <w:pPr>
        <w:rPr>
          <w:lang w:eastAsia="en-GB"/>
        </w:rPr>
      </w:pPr>
      <w:r w:rsidRPr="00CE2542">
        <w:rPr>
          <w:rFonts w:eastAsia="Times New Roman" w:cstheme="minorHAnsi"/>
          <w:noProof/>
          <w:kern w:val="0"/>
          <w:lang w:eastAsia="en-GB"/>
        </w:rPr>
        <w:drawing>
          <wp:anchor distT="0" distB="0" distL="114300" distR="114300" simplePos="0" relativeHeight="251663360" behindDoc="0" locked="0" layoutInCell="1" allowOverlap="1" wp14:anchorId="6DFFFF93" wp14:editId="10FCA8A9">
            <wp:simplePos x="0" y="0"/>
            <wp:positionH relativeFrom="column">
              <wp:posOffset>1592580</wp:posOffset>
            </wp:positionH>
            <wp:positionV relativeFrom="paragraph">
              <wp:posOffset>785495</wp:posOffset>
            </wp:positionV>
            <wp:extent cx="952500" cy="952500"/>
            <wp:effectExtent l="0" t="0" r="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DF116B" wp14:editId="53AC0E49">
            <wp:simplePos x="0" y="0"/>
            <wp:positionH relativeFrom="page">
              <wp:posOffset>3828415</wp:posOffset>
            </wp:positionH>
            <wp:positionV relativeFrom="paragraph">
              <wp:posOffset>1014095</wp:posOffset>
            </wp:positionV>
            <wp:extent cx="1722606" cy="647700"/>
            <wp:effectExtent l="0" t="0" r="0" b="0"/>
            <wp:wrapNone/>
            <wp:docPr id="1749509869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09869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0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3E797" w14:textId="77777777" w:rsidR="007603AB" w:rsidRDefault="007603AB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p w14:paraId="042641C7" w14:textId="77777777" w:rsidR="0003359B" w:rsidRDefault="0003359B" w:rsidP="0003359B"/>
    <w:p w14:paraId="4AB63281" w14:textId="77777777" w:rsidR="0003359B" w:rsidRPr="0003359B" w:rsidRDefault="0003359B" w:rsidP="0003359B"/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357B" w14:textId="77777777" w:rsidR="009D41D0" w:rsidRDefault="009D41D0" w:rsidP="00A96CB2">
      <w:r>
        <w:separator/>
      </w:r>
    </w:p>
  </w:endnote>
  <w:endnote w:type="continuationSeparator" w:id="0">
    <w:p w14:paraId="576FD7F4" w14:textId="77777777" w:rsidR="009D41D0" w:rsidRDefault="009D41D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3BE9E2BF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 xml:space="preserve">: Vita Health Group, </w:t>
          </w:r>
          <w:r w:rsidR="0073024B">
            <w:t>14 Woolhall Street</w:t>
          </w:r>
          <w:r w:rsidRPr="00F553DC">
            <w:t>, Bury St Edmunds IP33 1</w:t>
          </w:r>
          <w:r w:rsidR="0073024B">
            <w:t>LA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2AAC7169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 w:rsidR="0073024B">
                  <w:t>14 Woolhall Street, Bury</w:t>
                </w:r>
                <w:r>
                  <w:t xml:space="preserve"> St Edmunds, IP33 1</w:t>
                </w:r>
                <w:r w:rsidR="0073024B">
                  <w:t>LA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1FE8" w14:textId="77777777" w:rsidR="009D41D0" w:rsidRDefault="009D41D0" w:rsidP="00A96CB2">
      <w:r>
        <w:separator/>
      </w:r>
    </w:p>
  </w:footnote>
  <w:footnote w:type="continuationSeparator" w:id="0">
    <w:p w14:paraId="68331F20" w14:textId="77777777" w:rsidR="009D41D0" w:rsidRDefault="009D41D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547BE72" w:rsidR="005E1013" w:rsidRPr="004A6AA8" w:rsidRDefault="0000000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071EA">
                                <w:t>Infection Prevention and Control (IPC)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7B3B31">
                                <w:t>V1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547BE72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071EA">
                          <w:t>Infection Prevention and Control (IPC)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7B3B31">
                          <w:t>V1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34C09A2" w:rsidR="00AD6216" w:rsidRPr="004A6AA8" w:rsidRDefault="0000000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071EA">
                                <w:t>Infection Prevention and Control (IPC)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966F66">
                                <w:t>V1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234C09A2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071EA">
                          <w:t>Infection Prevention and Control (IPC)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48.5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A33248"/>
    <w:multiLevelType w:val="multilevel"/>
    <w:tmpl w:val="652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73A89"/>
    <w:multiLevelType w:val="hybridMultilevel"/>
    <w:tmpl w:val="275C6088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187027">
    <w:abstractNumId w:val="6"/>
  </w:num>
  <w:num w:numId="2" w16cid:durableId="160197441">
    <w:abstractNumId w:val="7"/>
  </w:num>
  <w:num w:numId="3" w16cid:durableId="1927491204">
    <w:abstractNumId w:val="3"/>
  </w:num>
  <w:num w:numId="4" w16cid:durableId="1875382168">
    <w:abstractNumId w:val="2"/>
  </w:num>
  <w:num w:numId="5" w16cid:durableId="1945796118">
    <w:abstractNumId w:val="1"/>
  </w:num>
  <w:num w:numId="6" w16cid:durableId="1466045340">
    <w:abstractNumId w:val="0"/>
  </w:num>
  <w:num w:numId="7" w16cid:durableId="1634670682">
    <w:abstractNumId w:val="9"/>
  </w:num>
  <w:num w:numId="8" w16cid:durableId="1289313925">
    <w:abstractNumId w:val="10"/>
  </w:num>
  <w:num w:numId="9" w16cid:durableId="190455740">
    <w:abstractNumId w:val="11"/>
  </w:num>
  <w:num w:numId="10" w16cid:durableId="2012180162">
    <w:abstractNumId w:val="4"/>
  </w:num>
  <w:num w:numId="11" w16cid:durableId="1087114871">
    <w:abstractNumId w:val="5"/>
  </w:num>
  <w:num w:numId="12" w16cid:durableId="3096802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27EE"/>
    <w:rsid w:val="00006998"/>
    <w:rsid w:val="000123BC"/>
    <w:rsid w:val="000147A1"/>
    <w:rsid w:val="000226FE"/>
    <w:rsid w:val="0003359B"/>
    <w:rsid w:val="000361B6"/>
    <w:rsid w:val="000451AC"/>
    <w:rsid w:val="000473EC"/>
    <w:rsid w:val="00060F4B"/>
    <w:rsid w:val="00073D92"/>
    <w:rsid w:val="0007487D"/>
    <w:rsid w:val="000778C3"/>
    <w:rsid w:val="0008067D"/>
    <w:rsid w:val="0009523A"/>
    <w:rsid w:val="00096451"/>
    <w:rsid w:val="000B543A"/>
    <w:rsid w:val="000C0CF5"/>
    <w:rsid w:val="000C22EE"/>
    <w:rsid w:val="000E4402"/>
    <w:rsid w:val="000F1AD1"/>
    <w:rsid w:val="000F3980"/>
    <w:rsid w:val="001138E4"/>
    <w:rsid w:val="00131BDA"/>
    <w:rsid w:val="00132A6E"/>
    <w:rsid w:val="00132FD4"/>
    <w:rsid w:val="00145448"/>
    <w:rsid w:val="001521BA"/>
    <w:rsid w:val="001549F9"/>
    <w:rsid w:val="001613CA"/>
    <w:rsid w:val="00166DFB"/>
    <w:rsid w:val="001730A7"/>
    <w:rsid w:val="00192749"/>
    <w:rsid w:val="00194845"/>
    <w:rsid w:val="00195D47"/>
    <w:rsid w:val="001A1E1C"/>
    <w:rsid w:val="001A4354"/>
    <w:rsid w:val="001A5D93"/>
    <w:rsid w:val="001B2A78"/>
    <w:rsid w:val="001C663C"/>
    <w:rsid w:val="001E08BF"/>
    <w:rsid w:val="001E1018"/>
    <w:rsid w:val="00203534"/>
    <w:rsid w:val="00203C76"/>
    <w:rsid w:val="0020579B"/>
    <w:rsid w:val="00214E5E"/>
    <w:rsid w:val="00232ED5"/>
    <w:rsid w:val="00233201"/>
    <w:rsid w:val="00236A48"/>
    <w:rsid w:val="0024338F"/>
    <w:rsid w:val="0026053A"/>
    <w:rsid w:val="002639E4"/>
    <w:rsid w:val="00264ABC"/>
    <w:rsid w:val="00266A7A"/>
    <w:rsid w:val="002767D4"/>
    <w:rsid w:val="00284165"/>
    <w:rsid w:val="002A0415"/>
    <w:rsid w:val="002A19D2"/>
    <w:rsid w:val="002A56DE"/>
    <w:rsid w:val="002C1886"/>
    <w:rsid w:val="002C26B0"/>
    <w:rsid w:val="002D3A10"/>
    <w:rsid w:val="002E07D3"/>
    <w:rsid w:val="002E12D8"/>
    <w:rsid w:val="002F0DC5"/>
    <w:rsid w:val="002F1DE0"/>
    <w:rsid w:val="002F6E88"/>
    <w:rsid w:val="003009D3"/>
    <w:rsid w:val="003163AC"/>
    <w:rsid w:val="003168DA"/>
    <w:rsid w:val="00317A49"/>
    <w:rsid w:val="00317DFA"/>
    <w:rsid w:val="0032018C"/>
    <w:rsid w:val="003225B7"/>
    <w:rsid w:val="00331D55"/>
    <w:rsid w:val="00331E01"/>
    <w:rsid w:val="0033354B"/>
    <w:rsid w:val="003355CB"/>
    <w:rsid w:val="003469E4"/>
    <w:rsid w:val="003650D1"/>
    <w:rsid w:val="003660D8"/>
    <w:rsid w:val="0038772C"/>
    <w:rsid w:val="0038785C"/>
    <w:rsid w:val="0039660D"/>
    <w:rsid w:val="003A4976"/>
    <w:rsid w:val="003A576E"/>
    <w:rsid w:val="003A591F"/>
    <w:rsid w:val="003B3ED7"/>
    <w:rsid w:val="003B5154"/>
    <w:rsid w:val="003C1445"/>
    <w:rsid w:val="003E2915"/>
    <w:rsid w:val="003E6AC1"/>
    <w:rsid w:val="003F47B2"/>
    <w:rsid w:val="0040035C"/>
    <w:rsid w:val="00400F4B"/>
    <w:rsid w:val="00407D0E"/>
    <w:rsid w:val="004130E5"/>
    <w:rsid w:val="004131C8"/>
    <w:rsid w:val="004145C3"/>
    <w:rsid w:val="00414E62"/>
    <w:rsid w:val="00420840"/>
    <w:rsid w:val="004304F8"/>
    <w:rsid w:val="00440299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64BC"/>
    <w:rsid w:val="004A6826"/>
    <w:rsid w:val="004B0D6E"/>
    <w:rsid w:val="004C2608"/>
    <w:rsid w:val="004D088B"/>
    <w:rsid w:val="004D7F07"/>
    <w:rsid w:val="004E07B2"/>
    <w:rsid w:val="004E1C18"/>
    <w:rsid w:val="004F04E2"/>
    <w:rsid w:val="004F05E6"/>
    <w:rsid w:val="0051296C"/>
    <w:rsid w:val="00522685"/>
    <w:rsid w:val="005263EA"/>
    <w:rsid w:val="005311A4"/>
    <w:rsid w:val="00531ED7"/>
    <w:rsid w:val="00536D88"/>
    <w:rsid w:val="005378DD"/>
    <w:rsid w:val="00547A12"/>
    <w:rsid w:val="0055685A"/>
    <w:rsid w:val="00556A5E"/>
    <w:rsid w:val="00557C5F"/>
    <w:rsid w:val="005604F4"/>
    <w:rsid w:val="005740ED"/>
    <w:rsid w:val="005750BA"/>
    <w:rsid w:val="005775F8"/>
    <w:rsid w:val="00583E2F"/>
    <w:rsid w:val="00585074"/>
    <w:rsid w:val="00586007"/>
    <w:rsid w:val="00591BF2"/>
    <w:rsid w:val="005A0A53"/>
    <w:rsid w:val="005A2909"/>
    <w:rsid w:val="005B5863"/>
    <w:rsid w:val="005C542F"/>
    <w:rsid w:val="005E1013"/>
    <w:rsid w:val="005E337E"/>
    <w:rsid w:val="005F4391"/>
    <w:rsid w:val="005F7120"/>
    <w:rsid w:val="00612BE0"/>
    <w:rsid w:val="00615CDB"/>
    <w:rsid w:val="00624018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2648"/>
    <w:rsid w:val="00693619"/>
    <w:rsid w:val="00693A0A"/>
    <w:rsid w:val="006A1513"/>
    <w:rsid w:val="006A4366"/>
    <w:rsid w:val="006A615A"/>
    <w:rsid w:val="006A7FC8"/>
    <w:rsid w:val="006B647C"/>
    <w:rsid w:val="006D5A73"/>
    <w:rsid w:val="006D6121"/>
    <w:rsid w:val="006D6F7B"/>
    <w:rsid w:val="006E187D"/>
    <w:rsid w:val="006E3219"/>
    <w:rsid w:val="006F280C"/>
    <w:rsid w:val="007071EA"/>
    <w:rsid w:val="0071459F"/>
    <w:rsid w:val="00721860"/>
    <w:rsid w:val="00722C6C"/>
    <w:rsid w:val="00723AA9"/>
    <w:rsid w:val="0073024B"/>
    <w:rsid w:val="00735584"/>
    <w:rsid w:val="00750F11"/>
    <w:rsid w:val="00757D37"/>
    <w:rsid w:val="007603AB"/>
    <w:rsid w:val="00776726"/>
    <w:rsid w:val="00777004"/>
    <w:rsid w:val="00785B9C"/>
    <w:rsid w:val="007A1AC7"/>
    <w:rsid w:val="007B1F7A"/>
    <w:rsid w:val="007B3B31"/>
    <w:rsid w:val="007B5406"/>
    <w:rsid w:val="007B7162"/>
    <w:rsid w:val="007C1BFC"/>
    <w:rsid w:val="007C3C30"/>
    <w:rsid w:val="007E0C04"/>
    <w:rsid w:val="007E2E8C"/>
    <w:rsid w:val="007E2ED2"/>
    <w:rsid w:val="007E572F"/>
    <w:rsid w:val="007F105F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A331E"/>
    <w:rsid w:val="008B46BC"/>
    <w:rsid w:val="008B737F"/>
    <w:rsid w:val="008C2BF8"/>
    <w:rsid w:val="008D26D9"/>
    <w:rsid w:val="008D63A7"/>
    <w:rsid w:val="008E6C1F"/>
    <w:rsid w:val="008F4ECD"/>
    <w:rsid w:val="008F59BC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0506"/>
    <w:rsid w:val="009713E7"/>
    <w:rsid w:val="00973D5C"/>
    <w:rsid w:val="00975A1A"/>
    <w:rsid w:val="00992211"/>
    <w:rsid w:val="009A706F"/>
    <w:rsid w:val="009B2062"/>
    <w:rsid w:val="009B41B8"/>
    <w:rsid w:val="009D41D0"/>
    <w:rsid w:val="009D591E"/>
    <w:rsid w:val="009D715E"/>
    <w:rsid w:val="009E188E"/>
    <w:rsid w:val="009E32A2"/>
    <w:rsid w:val="009E4D3C"/>
    <w:rsid w:val="00A00821"/>
    <w:rsid w:val="00A024FB"/>
    <w:rsid w:val="00A1164C"/>
    <w:rsid w:val="00A1476E"/>
    <w:rsid w:val="00A215C5"/>
    <w:rsid w:val="00A308CF"/>
    <w:rsid w:val="00A34AC6"/>
    <w:rsid w:val="00A47E5C"/>
    <w:rsid w:val="00A51DA9"/>
    <w:rsid w:val="00A562C0"/>
    <w:rsid w:val="00A62D61"/>
    <w:rsid w:val="00A66B4F"/>
    <w:rsid w:val="00A820BE"/>
    <w:rsid w:val="00A867FC"/>
    <w:rsid w:val="00A87CA6"/>
    <w:rsid w:val="00A909EF"/>
    <w:rsid w:val="00A95664"/>
    <w:rsid w:val="00A96CB2"/>
    <w:rsid w:val="00AA197E"/>
    <w:rsid w:val="00AA1DDC"/>
    <w:rsid w:val="00AB093A"/>
    <w:rsid w:val="00AB235F"/>
    <w:rsid w:val="00AC21A4"/>
    <w:rsid w:val="00AC5FDD"/>
    <w:rsid w:val="00AC76FA"/>
    <w:rsid w:val="00AD1C29"/>
    <w:rsid w:val="00AD6216"/>
    <w:rsid w:val="00AF5C72"/>
    <w:rsid w:val="00AF6D0E"/>
    <w:rsid w:val="00B06D78"/>
    <w:rsid w:val="00B1264B"/>
    <w:rsid w:val="00B1302A"/>
    <w:rsid w:val="00B2053D"/>
    <w:rsid w:val="00B21FAC"/>
    <w:rsid w:val="00B4728A"/>
    <w:rsid w:val="00B507D2"/>
    <w:rsid w:val="00B56264"/>
    <w:rsid w:val="00B73492"/>
    <w:rsid w:val="00B83328"/>
    <w:rsid w:val="00BA58A0"/>
    <w:rsid w:val="00BB0231"/>
    <w:rsid w:val="00BB1657"/>
    <w:rsid w:val="00BB327E"/>
    <w:rsid w:val="00BB3F7F"/>
    <w:rsid w:val="00BC09DF"/>
    <w:rsid w:val="00BC296B"/>
    <w:rsid w:val="00BC7E72"/>
    <w:rsid w:val="00BD33A9"/>
    <w:rsid w:val="00BD35D8"/>
    <w:rsid w:val="00BE4EA4"/>
    <w:rsid w:val="00BE5187"/>
    <w:rsid w:val="00BF6F51"/>
    <w:rsid w:val="00BF7514"/>
    <w:rsid w:val="00C07454"/>
    <w:rsid w:val="00C07A4A"/>
    <w:rsid w:val="00C113DF"/>
    <w:rsid w:val="00C240C3"/>
    <w:rsid w:val="00C26FAA"/>
    <w:rsid w:val="00C27D94"/>
    <w:rsid w:val="00C470DD"/>
    <w:rsid w:val="00C50A66"/>
    <w:rsid w:val="00C53B5F"/>
    <w:rsid w:val="00C57856"/>
    <w:rsid w:val="00C600C2"/>
    <w:rsid w:val="00C653AC"/>
    <w:rsid w:val="00C7219D"/>
    <w:rsid w:val="00C823C5"/>
    <w:rsid w:val="00C83042"/>
    <w:rsid w:val="00C84458"/>
    <w:rsid w:val="00CA13BF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29A9"/>
    <w:rsid w:val="00D05DCA"/>
    <w:rsid w:val="00D070A1"/>
    <w:rsid w:val="00D128B2"/>
    <w:rsid w:val="00D13D94"/>
    <w:rsid w:val="00D15202"/>
    <w:rsid w:val="00D15664"/>
    <w:rsid w:val="00D324BD"/>
    <w:rsid w:val="00D331FB"/>
    <w:rsid w:val="00D352BC"/>
    <w:rsid w:val="00D4532F"/>
    <w:rsid w:val="00D45B48"/>
    <w:rsid w:val="00D610B8"/>
    <w:rsid w:val="00D66587"/>
    <w:rsid w:val="00D6734C"/>
    <w:rsid w:val="00D75C60"/>
    <w:rsid w:val="00D76E89"/>
    <w:rsid w:val="00D801E2"/>
    <w:rsid w:val="00D803BE"/>
    <w:rsid w:val="00D84D7D"/>
    <w:rsid w:val="00D858C5"/>
    <w:rsid w:val="00D962FC"/>
    <w:rsid w:val="00DA12CF"/>
    <w:rsid w:val="00DB2F17"/>
    <w:rsid w:val="00DD3296"/>
    <w:rsid w:val="00DE205B"/>
    <w:rsid w:val="00DF02BD"/>
    <w:rsid w:val="00DF288D"/>
    <w:rsid w:val="00DF68C8"/>
    <w:rsid w:val="00E027ED"/>
    <w:rsid w:val="00E10AA4"/>
    <w:rsid w:val="00E11E54"/>
    <w:rsid w:val="00E12C2D"/>
    <w:rsid w:val="00E32957"/>
    <w:rsid w:val="00E32E56"/>
    <w:rsid w:val="00E4225D"/>
    <w:rsid w:val="00E4379F"/>
    <w:rsid w:val="00E576F4"/>
    <w:rsid w:val="00E653E9"/>
    <w:rsid w:val="00E8547A"/>
    <w:rsid w:val="00E96376"/>
    <w:rsid w:val="00E965E1"/>
    <w:rsid w:val="00EA11F5"/>
    <w:rsid w:val="00EA1B96"/>
    <w:rsid w:val="00EA27A9"/>
    <w:rsid w:val="00EA753A"/>
    <w:rsid w:val="00EB1F39"/>
    <w:rsid w:val="00EB76F5"/>
    <w:rsid w:val="00EC4FA3"/>
    <w:rsid w:val="00ED2F2C"/>
    <w:rsid w:val="00ED33CE"/>
    <w:rsid w:val="00ED6078"/>
    <w:rsid w:val="00EE02AA"/>
    <w:rsid w:val="00EE1E09"/>
    <w:rsid w:val="00EE5907"/>
    <w:rsid w:val="00EE6476"/>
    <w:rsid w:val="00F0798E"/>
    <w:rsid w:val="00F553DC"/>
    <w:rsid w:val="00F612B6"/>
    <w:rsid w:val="00F62430"/>
    <w:rsid w:val="00F63E60"/>
    <w:rsid w:val="00F66FA7"/>
    <w:rsid w:val="00F67D50"/>
    <w:rsid w:val="00F722AF"/>
    <w:rsid w:val="00F87960"/>
    <w:rsid w:val="00F87A1E"/>
    <w:rsid w:val="00F92D11"/>
    <w:rsid w:val="00F9670F"/>
    <w:rsid w:val="00FA0056"/>
    <w:rsid w:val="00FA0CDC"/>
    <w:rsid w:val="00FB0343"/>
    <w:rsid w:val="00FB28AC"/>
    <w:rsid w:val="00FE79B8"/>
    <w:rsid w:val="00FF5529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itahealthgroup.co.uk/join-us/careers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hr@vhg.co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5.gi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cruitment@vhg.co.uk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A03C8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93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(IPC) Lead</dc:title>
  <dc:subject>Enter Sub-Title Of Policy</dc:subject>
  <dc:creator>Human Resources</dc:creator>
  <cp:keywords>TBC</cp:keywords>
  <dc:description>V1</dc:description>
  <cp:lastModifiedBy>Yvonne Attwell</cp:lastModifiedBy>
  <cp:revision>100</cp:revision>
  <cp:lastPrinted>2018-03-16T13:36:00Z</cp:lastPrinted>
  <dcterms:created xsi:type="dcterms:W3CDTF">2023-06-02T14:31:00Z</dcterms:created>
  <dcterms:modified xsi:type="dcterms:W3CDTF">2023-06-02T16:30:00Z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