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574F9344" w:rsidR="005E1013" w:rsidRDefault="00080D2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Service Designer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59EAE0F" w:rsidR="00966F66" w:rsidRPr="000027EE" w:rsidRDefault="00836FC0" w:rsidP="4227B2D3">
            <w:pPr>
              <w:spacing w:before="100" w:after="100"/>
              <w:rPr>
                <w:rFonts w:eastAsia="Gill Sans MT" w:cs="Calibri"/>
                <w:szCs w:val="22"/>
              </w:rPr>
            </w:pPr>
            <w:r>
              <w:rPr>
                <w:rFonts w:eastAsia="Gill Sans MT" w:cs="Calibri"/>
                <w:szCs w:val="22"/>
              </w:rPr>
              <w:t>Service Designer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CDCCBB0" w:rsidR="00966F66" w:rsidRPr="000027EE" w:rsidRDefault="00380FA4" w:rsidP="4227B2D3">
            <w:pPr>
              <w:spacing w:before="100" w:after="100"/>
              <w:rPr>
                <w:rFonts w:eastAsia="Gill Sans MT" w:cs="Calibri"/>
                <w:szCs w:val="22"/>
              </w:rPr>
            </w:pPr>
            <w:r>
              <w:rPr>
                <w:rFonts w:eastAsia="Gill Sans MT" w:cs="Calibri"/>
                <w:szCs w:val="22"/>
              </w:rPr>
              <w:t xml:space="preserve">Transformation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41C9B32" w:rsidR="00966F66" w:rsidRPr="000027EE" w:rsidRDefault="00380FA4" w:rsidP="4227B2D3">
            <w:pPr>
              <w:spacing w:before="100" w:after="100"/>
              <w:rPr>
                <w:rFonts w:eastAsia="Gill Sans MT" w:cs="Calibri"/>
                <w:szCs w:val="22"/>
              </w:rPr>
            </w:pPr>
            <w:r>
              <w:rPr>
                <w:rFonts w:eastAsia="Gill Sans MT" w:cs="Calibri"/>
                <w:szCs w:val="22"/>
              </w:rPr>
              <w:t>Remote</w:t>
            </w:r>
            <w:r w:rsidR="00172840">
              <w:rPr>
                <w:rFonts w:eastAsia="Gill Sans MT" w:cs="Calibri"/>
                <w:szCs w:val="22"/>
              </w:rPr>
              <w:t xml:space="preserve"> </w:t>
            </w:r>
            <w:r w:rsidR="00B44E89">
              <w:rPr>
                <w:rFonts w:eastAsia="Gill Sans MT" w:cs="Calibri"/>
                <w:szCs w:val="22"/>
              </w:rPr>
              <w:t>–</w:t>
            </w:r>
            <w:r w:rsidR="00172840">
              <w:rPr>
                <w:rFonts w:eastAsia="Gill Sans MT" w:cs="Calibri"/>
                <w:szCs w:val="22"/>
              </w:rPr>
              <w:t xml:space="preserve"> Home</w:t>
            </w:r>
            <w:r w:rsidR="00B91D5F">
              <w:rPr>
                <w:rFonts w:eastAsia="Gill Sans MT" w:cs="Calibri"/>
                <w:szCs w:val="22"/>
              </w:rPr>
              <w:t>based</w:t>
            </w:r>
            <w:r w:rsidR="00B44E89">
              <w:rPr>
                <w:rFonts w:eastAsia="Gill Sans MT" w:cs="Calibri"/>
                <w:szCs w:val="22"/>
              </w:rPr>
              <w:t xml:space="preserve"> with regular travel</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88977C4" w:rsidR="00966F66" w:rsidRPr="000027EE" w:rsidRDefault="005E12CA" w:rsidP="4227B2D3">
            <w:pPr>
              <w:spacing w:before="100" w:after="100"/>
              <w:rPr>
                <w:rFonts w:eastAsia="Gill Sans MT" w:cs="Calibri"/>
                <w:szCs w:val="22"/>
              </w:rPr>
            </w:pPr>
            <w:r w:rsidRPr="005E12CA">
              <w:rPr>
                <w:rFonts w:eastAsia="Gill Sans MT" w:cs="Calibri"/>
                <w:szCs w:val="22"/>
              </w:rPr>
              <w:t>Head of Business Integration</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87070D7" w:rsidR="00966F66" w:rsidRPr="000027EE" w:rsidRDefault="005E12CA" w:rsidP="4227B2D3">
            <w:pPr>
              <w:spacing w:before="100" w:after="100"/>
              <w:rPr>
                <w:rFonts w:eastAsia="Gill Sans MT" w:cs="Calibri"/>
                <w:szCs w:val="22"/>
              </w:rPr>
            </w:pPr>
            <w:r>
              <w:rPr>
                <w:rFonts w:eastAsia="Gill Sans MT" w:cs="Calibri"/>
                <w:szCs w:val="22"/>
              </w:rPr>
              <w:t>No</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0158021" w:rsidR="00966F66" w:rsidRPr="000027EE" w:rsidRDefault="00546676" w:rsidP="00966F66">
            <w:pPr>
              <w:spacing w:before="100" w:after="100"/>
              <w:rPr>
                <w:rFonts w:cs="Calibri"/>
                <w:szCs w:val="22"/>
              </w:rPr>
            </w:pPr>
            <w:r>
              <w:rPr>
                <w:rFonts w:cs="Calibri"/>
                <w:szCs w:val="22"/>
              </w:rPr>
              <w:t>Director of Transformation</w:t>
            </w:r>
          </w:p>
        </w:tc>
      </w:tr>
      <w:tr w:rsidR="005E12CA" w14:paraId="459E1B5F" w14:textId="77777777" w:rsidTr="1E5E83AD">
        <w:tc>
          <w:tcPr>
            <w:tcW w:w="3256" w:type="dxa"/>
            <w:vAlign w:val="center"/>
          </w:tcPr>
          <w:p w14:paraId="3F242D0D" w14:textId="7D9E94A7" w:rsidR="005E12CA" w:rsidRDefault="005E12CA" w:rsidP="005E12CA">
            <w:pPr>
              <w:spacing w:before="100" w:after="100"/>
            </w:pPr>
            <w:r>
              <w:t>Responsible to:</w:t>
            </w:r>
          </w:p>
          <w:p w14:paraId="65CDC27E" w14:textId="436CC73C" w:rsidR="005E12CA" w:rsidRDefault="005E12CA" w:rsidP="005E12CA">
            <w:pPr>
              <w:spacing w:before="100" w:after="100"/>
            </w:pPr>
            <w:r>
              <w:t>(where applicable)</w:t>
            </w:r>
          </w:p>
        </w:tc>
        <w:tc>
          <w:tcPr>
            <w:tcW w:w="6706" w:type="dxa"/>
            <w:vAlign w:val="center"/>
          </w:tcPr>
          <w:p w14:paraId="21AB59BB" w14:textId="2DDAB29A" w:rsidR="005E12CA" w:rsidRPr="000027EE" w:rsidRDefault="005E12CA" w:rsidP="005E12CA">
            <w:pPr>
              <w:spacing w:before="100" w:after="100"/>
              <w:rPr>
                <w:rFonts w:cs="Calibri"/>
                <w:szCs w:val="22"/>
              </w:rPr>
            </w:pPr>
            <w:r w:rsidRPr="005E12CA">
              <w:rPr>
                <w:rFonts w:eastAsia="Gill Sans MT" w:cs="Calibri"/>
                <w:szCs w:val="22"/>
              </w:rPr>
              <w:t>Head of Business Integration</w:t>
            </w:r>
          </w:p>
        </w:tc>
      </w:tr>
      <w:tr w:rsidR="005E12CA" w14:paraId="34A2BEBB" w14:textId="77777777" w:rsidTr="1E5E83AD">
        <w:tc>
          <w:tcPr>
            <w:tcW w:w="3256" w:type="dxa"/>
            <w:vAlign w:val="center"/>
          </w:tcPr>
          <w:p w14:paraId="5D8CED71" w14:textId="47B9CCF8" w:rsidR="005E12CA" w:rsidRDefault="005E12CA" w:rsidP="005E12CA">
            <w:pPr>
              <w:spacing w:before="100" w:after="100"/>
            </w:pPr>
            <w:r>
              <w:t>Job purpose:</w:t>
            </w:r>
          </w:p>
        </w:tc>
        <w:tc>
          <w:tcPr>
            <w:tcW w:w="6706" w:type="dxa"/>
            <w:vAlign w:val="center"/>
          </w:tcPr>
          <w:p w14:paraId="75452C32" w14:textId="77777777" w:rsidR="003F2EA9" w:rsidRPr="003F2EA9" w:rsidRDefault="003F2EA9" w:rsidP="003F2EA9">
            <w:pPr>
              <w:spacing w:before="100" w:after="100"/>
              <w:rPr>
                <w:rFonts w:eastAsia="Calibri" w:cs="Calibri"/>
                <w:szCs w:val="22"/>
              </w:rPr>
            </w:pPr>
            <w:r w:rsidRPr="003F2EA9">
              <w:rPr>
                <w:rFonts w:eastAsia="Calibri" w:cs="Calibri"/>
                <w:szCs w:val="22"/>
              </w:rPr>
              <w:t xml:space="preserve">The Service Designer will be responsible for designing, improving, and governing end-to-end services that deliver value to customers, patients, and the organisation. This role integrates service design with operational excellence, behavioural science, Process Management, Business Analysis, and data-driven continuous improvement. </w:t>
            </w:r>
          </w:p>
          <w:p w14:paraId="027DF167" w14:textId="79BD793D" w:rsidR="005E12CA" w:rsidRPr="000027EE" w:rsidRDefault="003F2EA9" w:rsidP="003F2EA9">
            <w:pPr>
              <w:spacing w:before="100" w:after="100" w:line="276" w:lineRule="auto"/>
              <w:rPr>
                <w:rFonts w:eastAsia="Calibri" w:cs="Calibri"/>
                <w:szCs w:val="22"/>
              </w:rPr>
            </w:pPr>
            <w:r w:rsidRPr="003F2EA9">
              <w:rPr>
                <w:rFonts w:eastAsia="Calibri" w:cs="Calibri"/>
                <w:szCs w:val="22"/>
              </w:rPr>
              <w:t>The Service Designer will work across both transactional services and relational services, ensuring services are effective, efficient, equitable, and resilient.</w:t>
            </w:r>
          </w:p>
        </w:tc>
      </w:tr>
      <w:tr w:rsidR="005E12CA" w14:paraId="3CFD1385" w14:textId="77777777" w:rsidTr="1E5E83AD">
        <w:tc>
          <w:tcPr>
            <w:tcW w:w="3256" w:type="dxa"/>
            <w:vAlign w:val="center"/>
          </w:tcPr>
          <w:p w14:paraId="627BDC42" w14:textId="3DF91B23" w:rsidR="005E12CA" w:rsidRDefault="005E12CA" w:rsidP="005E12CA">
            <w:pPr>
              <w:spacing w:before="100" w:after="100"/>
            </w:pPr>
            <w:r>
              <w:t>Role and Responsibilities:</w:t>
            </w:r>
          </w:p>
        </w:tc>
        <w:tc>
          <w:tcPr>
            <w:tcW w:w="6706" w:type="dxa"/>
            <w:vAlign w:val="center"/>
          </w:tcPr>
          <w:p w14:paraId="7123B0B2" w14:textId="77777777" w:rsidR="00DB3D01" w:rsidRPr="007C488F" w:rsidRDefault="00DB3D01" w:rsidP="00DB3D01">
            <w:pPr>
              <w:spacing w:before="100" w:after="100" w:line="252" w:lineRule="auto"/>
              <w:rPr>
                <w:b/>
                <w:bCs/>
                <w:szCs w:val="22"/>
              </w:rPr>
            </w:pPr>
            <w:r w:rsidRPr="007C488F">
              <w:rPr>
                <w:b/>
                <w:bCs/>
                <w:szCs w:val="22"/>
              </w:rPr>
              <w:t>Service Design &amp; Improvement</w:t>
            </w:r>
          </w:p>
          <w:p w14:paraId="013E95C1" w14:textId="247889AF" w:rsidR="00DB3D01" w:rsidRPr="00DB3D01" w:rsidRDefault="00DB3D01" w:rsidP="00716AC6">
            <w:pPr>
              <w:pStyle w:val="BulletListDense"/>
            </w:pPr>
            <w:r w:rsidRPr="00DB3D01">
              <w:t>Understand needs, frame problems, explore options, and iteratively design services grounded in evidence and learning.</w:t>
            </w:r>
          </w:p>
          <w:p w14:paraId="5903AE9B" w14:textId="231833AB" w:rsidR="00DB3D01" w:rsidRPr="00DB3D01" w:rsidRDefault="00DB3D01" w:rsidP="00716AC6">
            <w:pPr>
              <w:pStyle w:val="BulletListDense"/>
            </w:pPr>
            <w:r w:rsidRPr="00DB3D01">
              <w:t>Understand problem contexts, surface assumptions, define system boundaries, and manage plural perspectives in simple, complicated, and complex domains.</w:t>
            </w:r>
          </w:p>
          <w:p w14:paraId="7D4E5190" w14:textId="0AD8681E" w:rsidR="00DB3D01" w:rsidRPr="00DB3D01" w:rsidRDefault="00DB3D01" w:rsidP="00716AC6">
            <w:pPr>
              <w:pStyle w:val="BulletListDense"/>
            </w:pPr>
            <w:r w:rsidRPr="00DB3D01">
              <w:t>Select and combine appropriate methods (hard, soft, and critical) based on the nature of the service problem and complexity context.</w:t>
            </w:r>
          </w:p>
          <w:p w14:paraId="409C0423" w14:textId="5C7B3D70" w:rsidR="00DB3D01" w:rsidRPr="00DB3D01" w:rsidRDefault="00DB3D01" w:rsidP="00716AC6">
            <w:pPr>
              <w:pStyle w:val="BulletListDense"/>
            </w:pPr>
            <w:r w:rsidRPr="00DB3D01">
              <w:t>Design and redesign end-to-end services across digital, physical, and human touchpoints.</w:t>
            </w:r>
          </w:p>
          <w:p w14:paraId="3C579240" w14:textId="76BFAB95" w:rsidR="00DB3D01" w:rsidRPr="00DB3D01" w:rsidRDefault="00DB3D01" w:rsidP="00716AC6">
            <w:pPr>
              <w:pStyle w:val="BulletListDense"/>
            </w:pPr>
            <w:r w:rsidRPr="00DB3D01">
              <w:lastRenderedPageBreak/>
              <w:t>Capture/utilise and embed Voice of the Customer (</w:t>
            </w:r>
            <w:proofErr w:type="spellStart"/>
            <w:r w:rsidRPr="00DB3D01">
              <w:t>VoC</w:t>
            </w:r>
            <w:proofErr w:type="spellEnd"/>
            <w:r w:rsidRPr="00DB3D01">
              <w:t>) insights</w:t>
            </w:r>
          </w:p>
          <w:p w14:paraId="06926B6F" w14:textId="0776DD64" w:rsidR="00DB3D01" w:rsidRPr="00DB3D01" w:rsidRDefault="00DB3D01" w:rsidP="00716AC6">
            <w:pPr>
              <w:pStyle w:val="BulletListDense"/>
            </w:pPr>
            <w:r w:rsidRPr="00DB3D01">
              <w:t>Develop and maintain service designs across channels, roles, and time.</w:t>
            </w:r>
          </w:p>
          <w:p w14:paraId="3A302E0F" w14:textId="0E7A81FD" w:rsidR="00DB3D01" w:rsidRPr="00DB3D01" w:rsidRDefault="00DB3D01" w:rsidP="00716AC6">
            <w:pPr>
              <w:pStyle w:val="BulletListDense"/>
            </w:pPr>
            <w:r w:rsidRPr="00DB3D01">
              <w:t>Produce and use methods and techniques that connect customer experience with operational processes, technology, roles, and controls.</w:t>
            </w:r>
          </w:p>
          <w:p w14:paraId="6563B9C8" w14:textId="0F192F8D" w:rsidR="00DB3D01" w:rsidRPr="00DB3D01" w:rsidRDefault="00DB3D01" w:rsidP="00716AC6">
            <w:pPr>
              <w:pStyle w:val="BulletListDense"/>
            </w:pPr>
            <w:r w:rsidRPr="00DB3D01">
              <w:t>Design service processes, using appropriate forms of process modelling, including BPMN.</w:t>
            </w:r>
          </w:p>
          <w:p w14:paraId="3DDB20AC" w14:textId="02E3675B" w:rsidR="00DB3D01" w:rsidRPr="00DB3D01" w:rsidRDefault="00DB3D01" w:rsidP="00716AC6">
            <w:pPr>
              <w:pStyle w:val="BulletListDense"/>
            </w:pPr>
            <w:r w:rsidRPr="00DB3D01">
              <w:t>Translate user needs, organisational goals, and operational constraints into a coherent Service Architecture and operating model.</w:t>
            </w:r>
          </w:p>
          <w:p w14:paraId="1A81395C" w14:textId="77777777" w:rsidR="00DB3D01" w:rsidRPr="007C488F" w:rsidRDefault="00DB3D01" w:rsidP="00DB3D01">
            <w:pPr>
              <w:spacing w:before="100" w:after="100" w:line="252" w:lineRule="auto"/>
              <w:rPr>
                <w:b/>
                <w:bCs/>
                <w:szCs w:val="22"/>
              </w:rPr>
            </w:pPr>
            <w:r w:rsidRPr="007C488F">
              <w:rPr>
                <w:b/>
                <w:bCs/>
                <w:szCs w:val="22"/>
              </w:rPr>
              <w:t>Process Design, Technology &amp; Business Analysis</w:t>
            </w:r>
          </w:p>
          <w:p w14:paraId="6A822DD9" w14:textId="1A1084A5" w:rsidR="00DB3D01" w:rsidRPr="00DB3D01" w:rsidRDefault="00DB3D01" w:rsidP="00EC7058">
            <w:pPr>
              <w:pStyle w:val="BulletListDense"/>
            </w:pPr>
            <w:r w:rsidRPr="00DB3D01">
              <w:t>Design, document, and govern end-to-end processes using Corporate Process Management principles and standards.</w:t>
            </w:r>
          </w:p>
          <w:p w14:paraId="1F25DD36" w14:textId="2D6593FB" w:rsidR="00DB3D01" w:rsidRPr="00DB3D01" w:rsidRDefault="00DB3D01" w:rsidP="00EC7058">
            <w:pPr>
              <w:pStyle w:val="BulletListDense"/>
            </w:pPr>
            <w:r w:rsidRPr="00DB3D01">
              <w:t>Ensure alignment between service design artefacts and formal Process Architectures.</w:t>
            </w:r>
          </w:p>
          <w:p w14:paraId="0AA4325E" w14:textId="4626E273" w:rsidR="00DB3D01" w:rsidRPr="00DB3D01" w:rsidRDefault="00DB3D01" w:rsidP="00EC7058">
            <w:pPr>
              <w:pStyle w:val="BulletListDense"/>
            </w:pPr>
            <w:r w:rsidRPr="00DB3D01">
              <w:t>Apply appropriate techniques to visualise and optimise the flow of value across organisation.</w:t>
            </w:r>
          </w:p>
          <w:p w14:paraId="582CFA24" w14:textId="55CD9855" w:rsidR="00DB3D01" w:rsidRPr="00DB3D01" w:rsidRDefault="00DB3D01" w:rsidP="00EC7058">
            <w:pPr>
              <w:pStyle w:val="BulletListDense"/>
            </w:pPr>
            <w:r w:rsidRPr="00DB3D01">
              <w:t>Design services with a clear understanding of technology enablers, including workflow automation, case management systems, booking platforms, and AI solutions.</w:t>
            </w:r>
          </w:p>
          <w:p w14:paraId="5085278B" w14:textId="52DFF209" w:rsidR="00DB3D01" w:rsidRPr="00DB3D01" w:rsidRDefault="00DB3D01" w:rsidP="00EC7058">
            <w:pPr>
              <w:pStyle w:val="BulletListDense"/>
            </w:pPr>
            <w:r w:rsidRPr="00DB3D01">
              <w:t>Collaborate with digital and technology teams to ensure service designs are technically feasible, scalable, and ethically appropriate.</w:t>
            </w:r>
          </w:p>
          <w:p w14:paraId="1F4AF1FD" w14:textId="026414AA" w:rsidR="00DB3D01" w:rsidRPr="00DB3D01" w:rsidRDefault="00DB3D01" w:rsidP="00EC7058">
            <w:pPr>
              <w:pStyle w:val="BulletListDense"/>
            </w:pPr>
            <w:r w:rsidRPr="00DB3D01">
              <w:t>Apply appropriate techniques to improve flow, reduce waste, and manage variation across service value streams.</w:t>
            </w:r>
          </w:p>
          <w:p w14:paraId="19323F5E" w14:textId="516A22F0" w:rsidR="00DB3D01" w:rsidRPr="00DB3D01" w:rsidRDefault="00DB3D01" w:rsidP="00EC7058">
            <w:pPr>
              <w:pStyle w:val="BulletListDense"/>
            </w:pPr>
            <w:r w:rsidRPr="00DB3D01">
              <w:t>Ensure that automation and technology support service intent, professional judgement, and relational quality.</w:t>
            </w:r>
          </w:p>
          <w:p w14:paraId="37B5C56D" w14:textId="77777777" w:rsidR="00DB3D01" w:rsidRPr="007C488F" w:rsidRDefault="00DB3D01" w:rsidP="00DB3D01">
            <w:pPr>
              <w:spacing w:before="100" w:after="100" w:line="252" w:lineRule="auto"/>
              <w:rPr>
                <w:b/>
                <w:bCs/>
                <w:szCs w:val="22"/>
              </w:rPr>
            </w:pPr>
            <w:r w:rsidRPr="007C488F">
              <w:rPr>
                <w:b/>
                <w:bCs/>
                <w:szCs w:val="22"/>
              </w:rPr>
              <w:t>Continuous Improvement &amp; Performance Management</w:t>
            </w:r>
          </w:p>
          <w:p w14:paraId="5363BCFD" w14:textId="4ACC814D" w:rsidR="00DB3D01" w:rsidRPr="00DB3D01" w:rsidRDefault="00DB3D01" w:rsidP="00A11392">
            <w:pPr>
              <w:pStyle w:val="BulletListDense"/>
            </w:pPr>
            <w:r w:rsidRPr="00DB3D01">
              <w:t>Establish and use Statistical Process Control (SPC) and other quantitative methods to monitor service performance and variation.</w:t>
            </w:r>
          </w:p>
          <w:p w14:paraId="3456204F" w14:textId="4019CD6A" w:rsidR="00DB3D01" w:rsidRPr="00DB3D01" w:rsidRDefault="00A11392" w:rsidP="00A11392">
            <w:pPr>
              <w:pStyle w:val="BulletListDense"/>
            </w:pPr>
            <w:r>
              <w:t>D</w:t>
            </w:r>
            <w:r w:rsidR="00DB3D01" w:rsidRPr="00DB3D01">
              <w:t>efine key service metrics (e.g., demand, throughput, quality, failure demand, customer effort, satisfaction, equity).</w:t>
            </w:r>
          </w:p>
          <w:p w14:paraId="67224DD7" w14:textId="0B77EFBB" w:rsidR="00DB3D01" w:rsidRPr="00DB3D01" w:rsidRDefault="00DB3D01" w:rsidP="00A11392">
            <w:pPr>
              <w:pStyle w:val="BulletListDense"/>
            </w:pPr>
            <w:r w:rsidRPr="00DB3D01">
              <w:t>Use Voice of the Customer and other CEM inputs to identify improvement opportunities and prioritise initiatives.</w:t>
            </w:r>
          </w:p>
          <w:p w14:paraId="2A111476" w14:textId="654883CB" w:rsidR="00DB3D01" w:rsidRPr="00DB3D01" w:rsidRDefault="00DB3D01" w:rsidP="00A11392">
            <w:pPr>
              <w:pStyle w:val="BulletListDense"/>
            </w:pPr>
            <w:r w:rsidRPr="00DB3D01">
              <w:t>Embed continuous improvement practices into service teams and operational routines.</w:t>
            </w:r>
          </w:p>
          <w:p w14:paraId="6C4AC729" w14:textId="34151D44" w:rsidR="00DB3D01" w:rsidRPr="00DB3D01" w:rsidRDefault="00DB3D01" w:rsidP="00A11392">
            <w:pPr>
              <w:pStyle w:val="BulletListDense"/>
            </w:pPr>
            <w:r w:rsidRPr="00DB3D01">
              <w:t>Combine qualitative insight (user research, staff insight) with quantitative performance data to guide decision-making.</w:t>
            </w:r>
          </w:p>
          <w:p w14:paraId="0BC75700" w14:textId="77777777" w:rsidR="00DB3D01" w:rsidRPr="007C488F" w:rsidRDefault="00DB3D01" w:rsidP="00DB3D01">
            <w:pPr>
              <w:spacing w:before="100" w:after="100" w:line="252" w:lineRule="auto"/>
              <w:rPr>
                <w:b/>
                <w:bCs/>
                <w:szCs w:val="22"/>
              </w:rPr>
            </w:pPr>
            <w:r w:rsidRPr="007C488F">
              <w:rPr>
                <w:b/>
                <w:bCs/>
                <w:szCs w:val="22"/>
              </w:rPr>
              <w:t>Stakeholder Collaboration &amp; Change</w:t>
            </w:r>
          </w:p>
          <w:p w14:paraId="79614C13" w14:textId="3A04C4FF" w:rsidR="00DB3D01" w:rsidRPr="00DB3D01" w:rsidRDefault="00DB3D01" w:rsidP="00A11392">
            <w:pPr>
              <w:pStyle w:val="BulletListDense"/>
            </w:pPr>
            <w:r w:rsidRPr="00DB3D01">
              <w:t>Work closely with business owners, operations, policy, data, technology, architecture, and clinical teams.</w:t>
            </w:r>
          </w:p>
          <w:p w14:paraId="24B07422" w14:textId="5BE31781" w:rsidR="00DB3D01" w:rsidRPr="00DB3D01" w:rsidRDefault="00DB3D01" w:rsidP="00A11392">
            <w:pPr>
              <w:pStyle w:val="BulletListDense"/>
            </w:pPr>
            <w:r w:rsidRPr="00DB3D01">
              <w:lastRenderedPageBreak/>
              <w:t>Facilitate workshops and design sessions.</w:t>
            </w:r>
          </w:p>
          <w:p w14:paraId="20640050" w14:textId="35A950E5" w:rsidR="00DB3D01" w:rsidRPr="00DB3D01" w:rsidRDefault="00DB3D01" w:rsidP="00A11392">
            <w:pPr>
              <w:pStyle w:val="BulletListDense"/>
            </w:pPr>
            <w:r w:rsidRPr="00DB3D01">
              <w:t>Communicate service designs clearly using appropriate models, maps, narratives, and evidence.</w:t>
            </w:r>
          </w:p>
          <w:p w14:paraId="44BDB607" w14:textId="2E69C327" w:rsidR="005E12CA" w:rsidRPr="00E071D1" w:rsidRDefault="00DB3D01" w:rsidP="00E071D1">
            <w:pPr>
              <w:pStyle w:val="BulletListDense"/>
            </w:pPr>
            <w:r w:rsidRPr="00DB3D01">
              <w:t>Support change implementation, including piloting, scaling, adoption, and benefits realisation.</w:t>
            </w:r>
          </w:p>
        </w:tc>
      </w:tr>
      <w:tr w:rsidR="005A5A45" w14:paraId="637CBDAD" w14:textId="77777777" w:rsidTr="1E5E83AD">
        <w:tc>
          <w:tcPr>
            <w:tcW w:w="3256" w:type="dxa"/>
            <w:vAlign w:val="center"/>
          </w:tcPr>
          <w:p w14:paraId="12855761" w14:textId="72370FA7" w:rsidR="005A5A45" w:rsidRDefault="005A5A45" w:rsidP="005E12CA">
            <w:pPr>
              <w:spacing w:before="100" w:after="100"/>
            </w:pPr>
            <w:r w:rsidRPr="005A5A45">
              <w:lastRenderedPageBreak/>
              <w:t>Skills &amp; Competencies</w:t>
            </w:r>
          </w:p>
        </w:tc>
        <w:tc>
          <w:tcPr>
            <w:tcW w:w="6706" w:type="dxa"/>
            <w:vAlign w:val="center"/>
          </w:tcPr>
          <w:p w14:paraId="350FA22A" w14:textId="77777777" w:rsidR="005A5A45" w:rsidRPr="005A5A45" w:rsidRDefault="005A5A45" w:rsidP="005A5A45">
            <w:pPr>
              <w:spacing w:before="100" w:after="100" w:line="252" w:lineRule="auto"/>
              <w:rPr>
                <w:b/>
                <w:bCs/>
                <w:szCs w:val="22"/>
              </w:rPr>
            </w:pPr>
            <w:r w:rsidRPr="005A5A45">
              <w:rPr>
                <w:b/>
                <w:bCs/>
                <w:szCs w:val="22"/>
              </w:rPr>
              <w:t>Core Skills</w:t>
            </w:r>
          </w:p>
          <w:p w14:paraId="33CCEEEA" w14:textId="1DEA02EF" w:rsidR="005A5A45" w:rsidRPr="005A5A45" w:rsidRDefault="005A5A45" w:rsidP="005A5A45">
            <w:pPr>
              <w:pStyle w:val="BulletListDense"/>
            </w:pPr>
            <w:r w:rsidRPr="005A5A45">
              <w:rPr>
                <w:b/>
                <w:bCs/>
              </w:rPr>
              <w:t xml:space="preserve"> </w:t>
            </w:r>
            <w:r w:rsidRPr="005A5A45">
              <w:t>Design Thinking and human-centred problem solving</w:t>
            </w:r>
          </w:p>
          <w:p w14:paraId="57F64FB0" w14:textId="357F41D3" w:rsidR="005A5A45" w:rsidRPr="005A5A45" w:rsidRDefault="005A5A45" w:rsidP="005A5A45">
            <w:pPr>
              <w:pStyle w:val="BulletListDense"/>
            </w:pPr>
            <w:r w:rsidRPr="005A5A45">
              <w:t xml:space="preserve"> End-to-end service design and systems integration</w:t>
            </w:r>
          </w:p>
          <w:p w14:paraId="1F5BF41F" w14:textId="6E0CFB90" w:rsidR="005A5A45" w:rsidRPr="005A5A45" w:rsidRDefault="005A5A45" w:rsidP="005A5A45">
            <w:pPr>
              <w:pStyle w:val="BulletListDense"/>
            </w:pPr>
            <w:r w:rsidRPr="005A5A45">
              <w:t xml:space="preserve"> Customer Journey Mapping and experience modelling</w:t>
            </w:r>
          </w:p>
          <w:p w14:paraId="25B1134B" w14:textId="031BC132" w:rsidR="005A5A45" w:rsidRPr="005A5A45" w:rsidRDefault="005A5A45" w:rsidP="005A5A45">
            <w:pPr>
              <w:pStyle w:val="BulletListDense"/>
            </w:pPr>
            <w:r w:rsidRPr="005A5A45">
              <w:t xml:space="preserve"> Service Blueprinting</w:t>
            </w:r>
          </w:p>
          <w:p w14:paraId="153DE968" w14:textId="5ACF54A2" w:rsidR="005A5A45" w:rsidRPr="005A5A45" w:rsidRDefault="005A5A45" w:rsidP="005A5A45">
            <w:pPr>
              <w:pStyle w:val="BulletListDense"/>
            </w:pPr>
            <w:r w:rsidRPr="005A5A45">
              <w:t xml:space="preserve"> Process Modelling</w:t>
            </w:r>
          </w:p>
          <w:p w14:paraId="0330075D" w14:textId="5EEEB0E8" w:rsidR="005A5A45" w:rsidRPr="005A5A45" w:rsidRDefault="005A5A45" w:rsidP="005A5A45">
            <w:pPr>
              <w:pStyle w:val="BulletListDense"/>
            </w:pPr>
            <w:r w:rsidRPr="005A5A45">
              <w:t xml:space="preserve"> Corporate Process Management and process governance</w:t>
            </w:r>
          </w:p>
          <w:p w14:paraId="64972053" w14:textId="06058DE6" w:rsidR="005A5A45" w:rsidRPr="005A5A45" w:rsidRDefault="005A5A45" w:rsidP="005A5A45">
            <w:pPr>
              <w:pStyle w:val="BulletListDense"/>
            </w:pPr>
            <w:r w:rsidRPr="005A5A45">
              <w:t xml:space="preserve"> Value Stream Mapping</w:t>
            </w:r>
          </w:p>
          <w:p w14:paraId="14BFEA12" w14:textId="1E216D53" w:rsidR="005A5A45" w:rsidRPr="005A5A45" w:rsidRDefault="005A5A45" w:rsidP="005A5A45">
            <w:pPr>
              <w:pStyle w:val="BulletListDense"/>
            </w:pPr>
            <w:r w:rsidRPr="005A5A45">
              <w:t xml:space="preserve"> Understanding of cross-functional organisation architectures</w:t>
            </w:r>
          </w:p>
          <w:p w14:paraId="21837DD2" w14:textId="036BC88C" w:rsidR="005A5A45" w:rsidRPr="005A5A45" w:rsidRDefault="005A5A45" w:rsidP="005A5A45">
            <w:pPr>
              <w:pStyle w:val="BulletListDense"/>
            </w:pPr>
            <w:r w:rsidRPr="005A5A45">
              <w:t xml:space="preserve"> Understanding of service-enabling technologies, including workflow automation, case management, booking systems, integration platforms, and AI</w:t>
            </w:r>
          </w:p>
          <w:p w14:paraId="4C7EAD7E" w14:textId="58F94999" w:rsidR="005A5A45" w:rsidRPr="005A5A45" w:rsidRDefault="005A5A45" w:rsidP="005A5A45">
            <w:pPr>
              <w:pStyle w:val="BulletListDense"/>
            </w:pPr>
            <w:r w:rsidRPr="005A5A45">
              <w:t xml:space="preserve"> Behavioural insight and influence-based design</w:t>
            </w:r>
          </w:p>
          <w:p w14:paraId="32D28A33" w14:textId="6E8948E6" w:rsidR="005A5A45" w:rsidRPr="005A5A45" w:rsidRDefault="005A5A45" w:rsidP="005A5A45">
            <w:pPr>
              <w:pStyle w:val="BulletListDense"/>
            </w:pPr>
            <w:r w:rsidRPr="005A5A45">
              <w:t xml:space="preserve"> Customer Experience Management</w:t>
            </w:r>
          </w:p>
          <w:p w14:paraId="520C8EAF" w14:textId="77777777" w:rsidR="005A5A45" w:rsidRPr="005A5A45" w:rsidRDefault="005A5A45" w:rsidP="005A5A45">
            <w:pPr>
              <w:spacing w:before="100" w:after="100" w:line="252" w:lineRule="auto"/>
              <w:rPr>
                <w:b/>
                <w:bCs/>
                <w:szCs w:val="22"/>
              </w:rPr>
            </w:pPr>
            <w:r w:rsidRPr="005A5A45">
              <w:rPr>
                <w:b/>
                <w:bCs/>
                <w:szCs w:val="22"/>
              </w:rPr>
              <w:t>Analytical &amp; Improvement Skills</w:t>
            </w:r>
          </w:p>
          <w:p w14:paraId="46CAA657" w14:textId="4ECC65A5" w:rsidR="005A5A45" w:rsidRPr="005A5A45" w:rsidRDefault="005A5A45" w:rsidP="005A5A45">
            <w:pPr>
              <w:pStyle w:val="BulletListDense"/>
            </w:pPr>
            <w:r w:rsidRPr="005A5A45">
              <w:t xml:space="preserve"> Use of SPC and quantitative monitoring of service performance</w:t>
            </w:r>
          </w:p>
          <w:p w14:paraId="675C3E7B" w14:textId="12644E60" w:rsidR="005A5A45" w:rsidRPr="005A5A45" w:rsidRDefault="005A5A45" w:rsidP="005A5A45">
            <w:pPr>
              <w:pStyle w:val="BulletListDense"/>
            </w:pPr>
            <w:r w:rsidRPr="005A5A45">
              <w:t xml:space="preserve"> Demand analysis and service performance modelling</w:t>
            </w:r>
          </w:p>
          <w:p w14:paraId="58D5DD95" w14:textId="2D1F6DC7" w:rsidR="005A5A45" w:rsidRPr="005A5A45" w:rsidRDefault="005A5A45" w:rsidP="005A5A45">
            <w:pPr>
              <w:pStyle w:val="BulletListDense"/>
            </w:pPr>
            <w:r w:rsidRPr="005A5A45">
              <w:t xml:space="preserve"> Evidence-based decision-making</w:t>
            </w:r>
          </w:p>
          <w:p w14:paraId="1FA2825C" w14:textId="29C327E9" w:rsidR="005A5A45" w:rsidRPr="005A5A45" w:rsidRDefault="005A5A45" w:rsidP="005A5A45">
            <w:pPr>
              <w:pStyle w:val="BulletListDense"/>
            </w:pPr>
            <w:r w:rsidRPr="005A5A45">
              <w:t xml:space="preserve"> Benefits tracking and outcome measurement</w:t>
            </w:r>
          </w:p>
          <w:p w14:paraId="386FC61C" w14:textId="77777777" w:rsidR="005A5A45" w:rsidRPr="005A5A45" w:rsidRDefault="005A5A45" w:rsidP="005A5A45">
            <w:pPr>
              <w:spacing w:before="100" w:after="100" w:line="252" w:lineRule="auto"/>
              <w:rPr>
                <w:b/>
                <w:bCs/>
                <w:szCs w:val="22"/>
              </w:rPr>
            </w:pPr>
            <w:r w:rsidRPr="005A5A45">
              <w:rPr>
                <w:b/>
                <w:bCs/>
                <w:szCs w:val="22"/>
              </w:rPr>
              <w:t>Design &amp; Facilitation Skills</w:t>
            </w:r>
          </w:p>
          <w:p w14:paraId="330FECF9" w14:textId="10BCE1C8" w:rsidR="005A5A45" w:rsidRPr="005A5A45" w:rsidRDefault="005A5A45" w:rsidP="005A5A45">
            <w:pPr>
              <w:pStyle w:val="BulletListDense"/>
            </w:pPr>
            <w:r w:rsidRPr="005A5A45">
              <w:t xml:space="preserve"> Practical application of service design, systems thinking, sensemaking, and architectural tools</w:t>
            </w:r>
          </w:p>
          <w:p w14:paraId="0502ED45" w14:textId="392E76FF" w:rsidR="005A5A45" w:rsidRPr="005A5A45" w:rsidRDefault="005A5A45" w:rsidP="005A5A45">
            <w:pPr>
              <w:pStyle w:val="BulletListDense"/>
            </w:pPr>
            <w:r w:rsidRPr="005A5A45">
              <w:t xml:space="preserve"> Application of behavioural science to service and process design</w:t>
            </w:r>
          </w:p>
          <w:p w14:paraId="5C551741" w14:textId="4697D719" w:rsidR="005A5A45" w:rsidRPr="005A5A45" w:rsidRDefault="005A5A45" w:rsidP="005A5A45">
            <w:pPr>
              <w:pStyle w:val="BulletListDense"/>
            </w:pPr>
            <w:r w:rsidRPr="005A5A45">
              <w:t xml:space="preserve"> Workshop facilitation and cross-functional collaboration</w:t>
            </w:r>
          </w:p>
          <w:p w14:paraId="4769F261" w14:textId="4A23B857" w:rsidR="005A5A45" w:rsidRPr="005A5A45" w:rsidRDefault="005A5A45" w:rsidP="005A5A45">
            <w:pPr>
              <w:pStyle w:val="BulletListDense"/>
            </w:pPr>
            <w:r w:rsidRPr="005A5A45">
              <w:t xml:space="preserve"> Ability to surface assumptions, challenge mental models, and make trade-offs explicit</w:t>
            </w:r>
          </w:p>
          <w:p w14:paraId="46843DF1" w14:textId="77777777" w:rsidR="005A5A45" w:rsidRPr="005A5A45" w:rsidRDefault="005A5A45" w:rsidP="005A5A45">
            <w:pPr>
              <w:spacing w:before="100" w:after="100" w:line="252" w:lineRule="auto"/>
              <w:rPr>
                <w:b/>
                <w:bCs/>
                <w:szCs w:val="22"/>
              </w:rPr>
            </w:pPr>
            <w:r w:rsidRPr="005A5A45">
              <w:rPr>
                <w:b/>
                <w:bCs/>
                <w:szCs w:val="22"/>
              </w:rPr>
              <w:t>Communication &amp; Influence</w:t>
            </w:r>
          </w:p>
          <w:p w14:paraId="5A49240F" w14:textId="30DE5156" w:rsidR="005A5A45" w:rsidRPr="005A5A45" w:rsidRDefault="005A5A45" w:rsidP="00E071D1">
            <w:pPr>
              <w:pStyle w:val="BulletListDense"/>
            </w:pPr>
            <w:r w:rsidRPr="005A5A45">
              <w:t xml:space="preserve"> Clear written and verbal communication with technical and non-technical audiences</w:t>
            </w:r>
          </w:p>
          <w:p w14:paraId="42F947AA" w14:textId="5BE32150" w:rsidR="005A5A45" w:rsidRPr="005A5A45" w:rsidRDefault="005A5A45" w:rsidP="00E071D1">
            <w:pPr>
              <w:pStyle w:val="BulletListDense"/>
            </w:pPr>
            <w:r w:rsidRPr="005A5A45">
              <w:t xml:space="preserve"> Ability to challenge constructively and influence senior stakeholders</w:t>
            </w:r>
          </w:p>
          <w:p w14:paraId="2075D518" w14:textId="3381E86F" w:rsidR="005A5A45" w:rsidRPr="007C488F" w:rsidRDefault="005A5A45" w:rsidP="00E071D1">
            <w:pPr>
              <w:pStyle w:val="BulletListDense"/>
            </w:pPr>
            <w:r w:rsidRPr="005A5A45">
              <w:t xml:space="preserve"> Comfortable working in ambiguous, complex environments</w:t>
            </w:r>
          </w:p>
        </w:tc>
      </w:tr>
      <w:tr w:rsidR="00F52A97" w14:paraId="1ECA74ED" w14:textId="77777777" w:rsidTr="1E5E83AD">
        <w:tc>
          <w:tcPr>
            <w:tcW w:w="3256" w:type="dxa"/>
            <w:vAlign w:val="center"/>
          </w:tcPr>
          <w:p w14:paraId="0431E830" w14:textId="360037D3" w:rsidR="00F52A97" w:rsidRDefault="00F52A97" w:rsidP="005E12CA">
            <w:pPr>
              <w:spacing w:before="100" w:after="100"/>
            </w:pPr>
            <w:r w:rsidRPr="00F52A97">
              <w:t>Equality Diversity &amp; Inclusion (EDI)</w:t>
            </w:r>
          </w:p>
        </w:tc>
        <w:tc>
          <w:tcPr>
            <w:tcW w:w="6706" w:type="dxa"/>
            <w:vAlign w:val="center"/>
          </w:tcPr>
          <w:p w14:paraId="0BA52B13" w14:textId="77777777" w:rsidR="00F52A97" w:rsidRPr="00F52A97" w:rsidRDefault="00F52A97" w:rsidP="00F52A97">
            <w:pPr>
              <w:spacing w:before="100" w:after="100" w:line="252" w:lineRule="auto"/>
              <w:rPr>
                <w:szCs w:val="22"/>
              </w:rPr>
            </w:pPr>
            <w:r w:rsidRPr="00F52A97">
              <w:rPr>
                <w:szCs w:val="22"/>
              </w:rPr>
              <w:t xml:space="preserve">We are proud to be an equal opportunities employer and are fully committed to EDI best practice in all we do.  Vita Health Group has </w:t>
            </w:r>
            <w:r w:rsidRPr="00F52A97">
              <w:rPr>
                <w:szCs w:val="22"/>
              </w:rPr>
              <w:lastRenderedPageBreak/>
              <w:t xml:space="preserve">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A4FEA64" w14:textId="0C8E422F" w:rsidR="00F52A97" w:rsidRPr="00F52A97" w:rsidRDefault="00F52A97" w:rsidP="00F52A97">
            <w:pPr>
              <w:pStyle w:val="BulletListDense"/>
            </w:pPr>
            <w:r w:rsidRPr="00F52A97">
              <w:t xml:space="preserve"> Be aware of the impact of your behaviour on others.</w:t>
            </w:r>
          </w:p>
          <w:p w14:paraId="16DFDBEB" w14:textId="488DADAF" w:rsidR="00F52A97" w:rsidRPr="00F52A97" w:rsidRDefault="00F52A97" w:rsidP="00F52A97">
            <w:pPr>
              <w:pStyle w:val="BulletListDense"/>
            </w:pPr>
            <w:r w:rsidRPr="00F52A97">
              <w:t xml:space="preserve"> Ensure that others are treated with fairness, dignity, and respect.</w:t>
            </w:r>
          </w:p>
          <w:p w14:paraId="250474D4" w14:textId="7E4CFDA5" w:rsidR="00F52A97" w:rsidRPr="00F52A97" w:rsidRDefault="00F52A97" w:rsidP="00F52A97">
            <w:pPr>
              <w:pStyle w:val="BulletListDense"/>
            </w:pPr>
            <w:r w:rsidRPr="00F52A97">
              <w:t xml:space="preserve"> Maintain and develop your knowledge about what EDI is and why it is important.</w:t>
            </w:r>
          </w:p>
          <w:p w14:paraId="3702B42B" w14:textId="6AAB926F" w:rsidR="00F52A97" w:rsidRPr="00F52A97" w:rsidRDefault="00F52A97" w:rsidP="00F52A97">
            <w:pPr>
              <w:pStyle w:val="BulletListDense"/>
            </w:pPr>
            <w:r w:rsidRPr="00F52A97">
              <w:t xml:space="preserve"> Be prepared to challenge bias, discrimination, and prejudice when possible, and raise with your manager, the EDI &amp; Sustainability team, or the Freedom to Speak Up Guardians.</w:t>
            </w:r>
          </w:p>
          <w:p w14:paraId="7DC6B693" w14:textId="531D90F4" w:rsidR="00F52A97" w:rsidRPr="00F52A97" w:rsidRDefault="00F52A97" w:rsidP="00F52A97">
            <w:pPr>
              <w:pStyle w:val="BulletListDense"/>
            </w:pPr>
            <w:r w:rsidRPr="00F52A97">
              <w:t xml:space="preserve"> Encourage and support others to feel confident in speaking up if they have been subjected to or witnessed bias, discrimination, or prejudice.</w:t>
            </w:r>
          </w:p>
          <w:p w14:paraId="09A52007" w14:textId="304EB84F" w:rsidR="00F52A97" w:rsidRPr="007C488F" w:rsidRDefault="00F52A97" w:rsidP="00F52A97">
            <w:pPr>
              <w:pStyle w:val="BulletListDense"/>
              <w:rPr>
                <w:b/>
                <w:bCs/>
              </w:rPr>
            </w:pPr>
            <w:r w:rsidRPr="00F52A97">
              <w:t xml:space="preserve"> Be prepared to speak up for others if you witness bias, discrimination, or prejudice.</w:t>
            </w:r>
          </w:p>
        </w:tc>
      </w:tr>
      <w:tr w:rsidR="005E12CA" w14:paraId="01882A7A" w14:textId="77777777" w:rsidTr="1E5E83AD">
        <w:tc>
          <w:tcPr>
            <w:tcW w:w="3256" w:type="dxa"/>
            <w:vAlign w:val="center"/>
          </w:tcPr>
          <w:p w14:paraId="57B89986" w14:textId="29BAB234" w:rsidR="005E12CA" w:rsidRDefault="005E12CA" w:rsidP="005E12CA">
            <w:pPr>
              <w:spacing w:before="100" w:after="100"/>
            </w:pPr>
            <w:r>
              <w:lastRenderedPageBreak/>
              <w:t>Clinical Governance:</w:t>
            </w:r>
          </w:p>
          <w:p w14:paraId="53E29B26" w14:textId="1892EDC7" w:rsidR="005E12CA" w:rsidRDefault="005E12CA" w:rsidP="005E12CA">
            <w:pPr>
              <w:spacing w:before="100" w:after="100"/>
            </w:pPr>
            <w:r>
              <w:t>(where applicable)</w:t>
            </w:r>
          </w:p>
        </w:tc>
        <w:tc>
          <w:tcPr>
            <w:tcW w:w="6706" w:type="dxa"/>
            <w:vAlign w:val="center"/>
          </w:tcPr>
          <w:p w14:paraId="3766E5BC" w14:textId="77777777" w:rsidR="005E12CA" w:rsidRDefault="005E12CA" w:rsidP="005E12CA">
            <w:pPr>
              <w:spacing w:before="100" w:after="100"/>
            </w:pPr>
          </w:p>
        </w:tc>
      </w:tr>
      <w:tr w:rsidR="005E12CA" w14:paraId="3161C07B" w14:textId="77777777" w:rsidTr="1E5E83AD">
        <w:tc>
          <w:tcPr>
            <w:tcW w:w="3256" w:type="dxa"/>
            <w:vAlign w:val="center"/>
          </w:tcPr>
          <w:p w14:paraId="5FD2413E" w14:textId="7A534F40" w:rsidR="005E12CA" w:rsidRDefault="005E12CA" w:rsidP="005E12CA">
            <w:pPr>
              <w:spacing w:before="100" w:after="100"/>
            </w:pPr>
            <w:r>
              <w:t>Training and supervision:</w:t>
            </w:r>
          </w:p>
        </w:tc>
        <w:tc>
          <w:tcPr>
            <w:tcW w:w="6706" w:type="dxa"/>
            <w:vAlign w:val="center"/>
          </w:tcPr>
          <w:p w14:paraId="201DC6D6" w14:textId="183FB023" w:rsidR="005E12CA" w:rsidRDefault="005E12CA" w:rsidP="005E12CA">
            <w:pPr>
              <w:spacing w:before="100" w:after="100"/>
              <w:rPr>
                <w:rFonts w:eastAsia="Calibri" w:cs="Calibri"/>
                <w:sz w:val="21"/>
                <w:szCs w:val="21"/>
              </w:rPr>
            </w:pPr>
          </w:p>
        </w:tc>
      </w:tr>
      <w:tr w:rsidR="005E12CA" w14:paraId="4004EF95" w14:textId="77777777" w:rsidTr="1E5E83AD">
        <w:tc>
          <w:tcPr>
            <w:tcW w:w="3256" w:type="dxa"/>
            <w:vAlign w:val="center"/>
          </w:tcPr>
          <w:p w14:paraId="0E220621" w14:textId="69144CB3" w:rsidR="005E12CA" w:rsidRDefault="005E12CA" w:rsidP="005E12CA">
            <w:pPr>
              <w:spacing w:before="100" w:after="100"/>
            </w:pPr>
            <w:r>
              <w:t>Additional information:</w:t>
            </w:r>
          </w:p>
        </w:tc>
        <w:tc>
          <w:tcPr>
            <w:tcW w:w="6706" w:type="dxa"/>
            <w:vAlign w:val="center"/>
          </w:tcPr>
          <w:p w14:paraId="4A51D27D" w14:textId="0025C3C0" w:rsidR="005E12CA" w:rsidRPr="00966F66" w:rsidRDefault="005E12CA" w:rsidP="007C488F">
            <w:pPr>
              <w:spacing w:before="100" w:after="100"/>
              <w:rPr>
                <w:color w:val="000000"/>
              </w:rPr>
            </w:pP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5D1EA60" w14:textId="77777777" w:rsidR="009831EB" w:rsidRPr="009831EB" w:rsidRDefault="009831EB" w:rsidP="009831EB">
            <w:pPr>
              <w:pStyle w:val="ListParagraph"/>
              <w:numPr>
                <w:ilvl w:val="0"/>
                <w:numId w:val="9"/>
              </w:numPr>
              <w:rPr>
                <w:rFonts w:eastAsia="Helvetica" w:cs="Calibri"/>
                <w:szCs w:val="22"/>
              </w:rPr>
            </w:pPr>
            <w:r w:rsidRPr="009831EB">
              <w:rPr>
                <w:rFonts w:eastAsia="Helvetica" w:cs="Calibri"/>
                <w:szCs w:val="22"/>
              </w:rPr>
              <w:t>Degree or equivalent experience in a relevant field (e.g., service design, operations management, business, engineering, social sciences)</w:t>
            </w:r>
          </w:p>
          <w:p w14:paraId="4315561D" w14:textId="752B3660" w:rsidR="00966F66" w:rsidRPr="00357C9C" w:rsidRDefault="00966F66" w:rsidP="009831EB">
            <w:pPr>
              <w:pStyle w:val="ListParagraph"/>
              <w:rPr>
                <w:rFonts w:eastAsia="Helvetica" w:cs="Calibri"/>
                <w:szCs w:val="22"/>
              </w:rPr>
            </w:pPr>
          </w:p>
        </w:tc>
        <w:tc>
          <w:tcPr>
            <w:tcW w:w="3728" w:type="dxa"/>
          </w:tcPr>
          <w:p w14:paraId="249563A3" w14:textId="0F8A80BA" w:rsidR="00966F66" w:rsidRPr="00614999" w:rsidRDefault="00614999" w:rsidP="00614999">
            <w:pPr>
              <w:pStyle w:val="ListParagraph"/>
              <w:numPr>
                <w:ilvl w:val="0"/>
                <w:numId w:val="9"/>
              </w:numPr>
              <w:rPr>
                <w:rFonts w:cs="Calibri"/>
                <w:szCs w:val="22"/>
              </w:rPr>
            </w:pPr>
            <w:r w:rsidRPr="00614999">
              <w:rPr>
                <w:rFonts w:cs="Calibri"/>
                <w:szCs w:val="22"/>
              </w:rPr>
              <w:t>Service Design, Service Operations Management, Business Architecture, Customer Experience Management, or continuous improvement certification</w:t>
            </w:r>
          </w:p>
        </w:tc>
      </w:tr>
      <w:tr w:rsidR="00966F66" w14:paraId="510D568C" w14:textId="77777777" w:rsidTr="1E5E83AD">
        <w:tc>
          <w:tcPr>
            <w:tcW w:w="2405" w:type="dxa"/>
            <w:shd w:val="clear" w:color="auto" w:fill="00A7CF" w:themeFill="accent1"/>
            <w:vAlign w:val="center"/>
          </w:tcPr>
          <w:p w14:paraId="5FFE56D6" w14:textId="39385A24"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w:t>
            </w:r>
            <w:r w:rsidR="003A1034">
              <w:rPr>
                <w:rFonts w:cs="Calibri"/>
                <w:b/>
                <w:bCs/>
                <w:color w:val="FFFFFF" w:themeColor="background1"/>
                <w:szCs w:val="22"/>
              </w:rPr>
              <w:t>e</w:t>
            </w:r>
          </w:p>
        </w:tc>
        <w:tc>
          <w:tcPr>
            <w:tcW w:w="3827" w:type="dxa"/>
          </w:tcPr>
          <w:p w14:paraId="0E0E4666" w14:textId="77777777" w:rsidR="00707D97" w:rsidRDefault="00707D97" w:rsidP="00707D97">
            <w:pPr>
              <w:pStyle w:val="ListParagraph"/>
              <w:numPr>
                <w:ilvl w:val="0"/>
                <w:numId w:val="9"/>
              </w:numPr>
              <w:rPr>
                <w:rFonts w:eastAsia="Times New Roman" w:cs="Calibri"/>
                <w:color w:val="333333"/>
                <w:szCs w:val="22"/>
                <w:lang w:eastAsia="en-GB"/>
              </w:rPr>
            </w:pPr>
            <w:r w:rsidRPr="00707D97">
              <w:rPr>
                <w:rFonts w:eastAsia="Times New Roman" w:cs="Calibri"/>
                <w:color w:val="333333"/>
                <w:szCs w:val="22"/>
                <w:lang w:eastAsia="en-GB"/>
              </w:rPr>
              <w:t>Demonstrable experience applying Design Thinking and CSP in complex service or organisational contexts</w:t>
            </w:r>
          </w:p>
          <w:p w14:paraId="266C263A" w14:textId="0CE637AE" w:rsidR="00080D22" w:rsidRDefault="00080D22" w:rsidP="00707D97">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t>Experience designing and redesigning end-to-end services across digital, physical, and human touchpoints.</w:t>
            </w:r>
          </w:p>
          <w:p w14:paraId="597ED44C" w14:textId="33D06E03" w:rsidR="00080D22" w:rsidRPr="00707D97" w:rsidRDefault="00080D22" w:rsidP="00707D97">
            <w:pPr>
              <w:pStyle w:val="ListParagraph"/>
              <w:numPr>
                <w:ilvl w:val="0"/>
                <w:numId w:val="9"/>
              </w:numPr>
              <w:rPr>
                <w:rFonts w:eastAsia="Times New Roman" w:cs="Calibri"/>
                <w:color w:val="333333"/>
                <w:szCs w:val="22"/>
                <w:lang w:eastAsia="en-GB"/>
              </w:rPr>
            </w:pPr>
            <w:r>
              <w:rPr>
                <w:rFonts w:eastAsia="Times New Roman" w:cs="Calibri"/>
                <w:color w:val="333333"/>
                <w:szCs w:val="22"/>
                <w:lang w:eastAsia="en-GB"/>
              </w:rPr>
              <w:lastRenderedPageBreak/>
              <w:t>Experience producing customer Journey Mapping and experience modelling</w:t>
            </w:r>
          </w:p>
          <w:p w14:paraId="54AF6CC7" w14:textId="77777777" w:rsidR="00707D97" w:rsidRPr="00707D97" w:rsidRDefault="00707D97" w:rsidP="00707D97">
            <w:pPr>
              <w:pStyle w:val="ListParagraph"/>
              <w:numPr>
                <w:ilvl w:val="0"/>
                <w:numId w:val="9"/>
              </w:numPr>
              <w:rPr>
                <w:rFonts w:eastAsia="Times New Roman" w:cs="Calibri"/>
                <w:color w:val="333333"/>
                <w:szCs w:val="22"/>
                <w:lang w:eastAsia="en-GB"/>
              </w:rPr>
            </w:pPr>
            <w:r w:rsidRPr="00707D97">
              <w:rPr>
                <w:rFonts w:eastAsia="Times New Roman" w:cs="Calibri"/>
                <w:color w:val="333333"/>
                <w:szCs w:val="22"/>
                <w:lang w:eastAsia="en-GB"/>
              </w:rPr>
              <w:t>Experience using systems thinking and business architecture principles to diagnose and redesign services</w:t>
            </w:r>
          </w:p>
          <w:p w14:paraId="68ECF132" w14:textId="77777777" w:rsidR="00707D97" w:rsidRPr="00707D97" w:rsidRDefault="00707D97" w:rsidP="00707D97">
            <w:pPr>
              <w:pStyle w:val="ListParagraph"/>
              <w:numPr>
                <w:ilvl w:val="0"/>
                <w:numId w:val="9"/>
              </w:numPr>
              <w:rPr>
                <w:rFonts w:eastAsia="Times New Roman" w:cs="Calibri"/>
                <w:color w:val="333333"/>
                <w:szCs w:val="22"/>
                <w:lang w:eastAsia="en-GB"/>
              </w:rPr>
            </w:pPr>
            <w:r w:rsidRPr="00707D97">
              <w:rPr>
                <w:rFonts w:eastAsia="Times New Roman" w:cs="Calibri"/>
                <w:color w:val="333333"/>
                <w:szCs w:val="22"/>
                <w:lang w:eastAsia="en-GB"/>
              </w:rPr>
              <w:t>Experience developing and using customer journey maps and service blueprints</w:t>
            </w:r>
          </w:p>
          <w:p w14:paraId="64EE025F" w14:textId="77777777" w:rsidR="00707D97" w:rsidRPr="00707D97" w:rsidRDefault="00707D97" w:rsidP="00707D97">
            <w:pPr>
              <w:pStyle w:val="ListParagraph"/>
              <w:numPr>
                <w:ilvl w:val="0"/>
                <w:numId w:val="9"/>
              </w:numPr>
              <w:rPr>
                <w:rFonts w:eastAsia="Times New Roman" w:cs="Calibri"/>
                <w:color w:val="333333"/>
                <w:szCs w:val="22"/>
                <w:lang w:eastAsia="en-GB"/>
              </w:rPr>
            </w:pPr>
            <w:r w:rsidRPr="00707D97">
              <w:rPr>
                <w:rFonts w:eastAsia="Times New Roman" w:cs="Calibri"/>
                <w:color w:val="333333"/>
                <w:szCs w:val="22"/>
                <w:lang w:eastAsia="en-GB"/>
              </w:rPr>
              <w:t>Experience aligning service design with process, service, and organisational architectures</w:t>
            </w:r>
          </w:p>
          <w:p w14:paraId="19DDF658" w14:textId="77777777" w:rsidR="00707D97" w:rsidRPr="00707D97" w:rsidRDefault="00707D97" w:rsidP="00707D97">
            <w:pPr>
              <w:pStyle w:val="ListParagraph"/>
              <w:numPr>
                <w:ilvl w:val="0"/>
                <w:numId w:val="9"/>
              </w:numPr>
              <w:rPr>
                <w:rFonts w:eastAsia="Times New Roman" w:cs="Calibri"/>
                <w:color w:val="333333"/>
                <w:szCs w:val="22"/>
                <w:lang w:eastAsia="en-GB"/>
              </w:rPr>
            </w:pPr>
            <w:r w:rsidRPr="00707D97">
              <w:rPr>
                <w:rFonts w:eastAsia="Times New Roman" w:cs="Calibri"/>
                <w:color w:val="333333"/>
                <w:szCs w:val="22"/>
                <w:lang w:eastAsia="en-GB"/>
              </w:rPr>
              <w:t>Practical experience applying continuous improvement approaches</w:t>
            </w:r>
          </w:p>
          <w:p w14:paraId="73403CCC" w14:textId="77777777" w:rsidR="00707D97" w:rsidRPr="00707D97" w:rsidRDefault="00707D97" w:rsidP="00707D97">
            <w:pPr>
              <w:pStyle w:val="ListParagraph"/>
              <w:numPr>
                <w:ilvl w:val="0"/>
                <w:numId w:val="9"/>
              </w:numPr>
              <w:rPr>
                <w:rFonts w:eastAsia="Times New Roman" w:cs="Calibri"/>
                <w:color w:val="333333"/>
                <w:szCs w:val="22"/>
                <w:lang w:eastAsia="en-GB"/>
              </w:rPr>
            </w:pPr>
            <w:r w:rsidRPr="00707D97">
              <w:rPr>
                <w:rFonts w:eastAsia="Times New Roman" w:cs="Calibri"/>
                <w:color w:val="333333"/>
                <w:szCs w:val="22"/>
                <w:lang w:eastAsia="en-GB"/>
              </w:rPr>
              <w:t>Experience designing or improving both high-volume transactional processes and relationship-based services</w:t>
            </w:r>
          </w:p>
          <w:p w14:paraId="3B562B01" w14:textId="17EBB4FA" w:rsidR="00146F55" w:rsidRPr="00707D97" w:rsidRDefault="00707D97" w:rsidP="00707D97">
            <w:pPr>
              <w:pStyle w:val="ListParagraph"/>
              <w:numPr>
                <w:ilvl w:val="0"/>
                <w:numId w:val="9"/>
              </w:numPr>
              <w:rPr>
                <w:rFonts w:eastAsia="Times New Roman" w:cs="Calibri"/>
                <w:color w:val="333333"/>
                <w:szCs w:val="22"/>
                <w:lang w:eastAsia="en-GB"/>
              </w:rPr>
            </w:pPr>
            <w:r w:rsidRPr="00707D97">
              <w:rPr>
                <w:rFonts w:eastAsia="Times New Roman" w:cs="Calibri"/>
                <w:color w:val="333333"/>
                <w:szCs w:val="22"/>
                <w:lang w:eastAsia="en-GB"/>
              </w:rPr>
              <w:t>Experience using data and insight to assess performance and guide improvement</w:t>
            </w:r>
          </w:p>
        </w:tc>
        <w:tc>
          <w:tcPr>
            <w:tcW w:w="3728" w:type="dxa"/>
          </w:tcPr>
          <w:p w14:paraId="14D23C2C" w14:textId="77777777" w:rsidR="00EC4C31" w:rsidRPr="00EC4C31" w:rsidRDefault="00EC4C31" w:rsidP="00EC4C31">
            <w:pPr>
              <w:numPr>
                <w:ilvl w:val="0"/>
                <w:numId w:val="9"/>
              </w:numPr>
              <w:shd w:val="clear" w:color="auto" w:fill="FFFFFF"/>
              <w:spacing w:before="100" w:beforeAutospacing="1" w:after="100" w:afterAutospacing="1"/>
              <w:rPr>
                <w:rFonts w:eastAsia="Times New Roman" w:cs="Calibri"/>
                <w:color w:val="333333"/>
                <w:szCs w:val="22"/>
                <w:lang w:eastAsia="en-GB"/>
              </w:rPr>
            </w:pPr>
            <w:r w:rsidRPr="00EC4C31">
              <w:rPr>
                <w:rFonts w:eastAsia="Times New Roman" w:cs="Calibri"/>
                <w:color w:val="333333"/>
                <w:szCs w:val="22"/>
                <w:lang w:eastAsia="en-GB"/>
              </w:rPr>
              <w:lastRenderedPageBreak/>
              <w:t>Experience operating within a corporate or enterprise process management environment</w:t>
            </w:r>
          </w:p>
          <w:p w14:paraId="605B1656" w14:textId="77777777" w:rsidR="00EC4C31" w:rsidRPr="00EC4C31" w:rsidRDefault="00EC4C31" w:rsidP="00EC4C31">
            <w:pPr>
              <w:numPr>
                <w:ilvl w:val="0"/>
                <w:numId w:val="9"/>
              </w:numPr>
              <w:shd w:val="clear" w:color="auto" w:fill="FFFFFF"/>
              <w:spacing w:before="100" w:beforeAutospacing="1" w:after="100" w:afterAutospacing="1"/>
              <w:rPr>
                <w:rFonts w:eastAsia="Times New Roman" w:cs="Calibri"/>
                <w:color w:val="333333"/>
                <w:szCs w:val="22"/>
                <w:lang w:eastAsia="en-GB"/>
              </w:rPr>
            </w:pPr>
            <w:r w:rsidRPr="00EC4C31">
              <w:rPr>
                <w:rFonts w:eastAsia="Times New Roman" w:cs="Calibri"/>
                <w:color w:val="333333"/>
                <w:szCs w:val="22"/>
                <w:lang w:eastAsia="en-GB"/>
              </w:rPr>
              <w:t>Experience applying SPC or similar statistical techniques in service contexts</w:t>
            </w:r>
          </w:p>
          <w:p w14:paraId="2174C8FC" w14:textId="77777777" w:rsidR="00EC4C31" w:rsidRPr="00EC4C31" w:rsidRDefault="00EC4C31" w:rsidP="00EC4C31">
            <w:pPr>
              <w:numPr>
                <w:ilvl w:val="0"/>
                <w:numId w:val="9"/>
              </w:numPr>
              <w:shd w:val="clear" w:color="auto" w:fill="FFFFFF"/>
              <w:spacing w:before="100" w:beforeAutospacing="1" w:after="100" w:afterAutospacing="1"/>
              <w:rPr>
                <w:rFonts w:eastAsia="Times New Roman" w:cs="Calibri"/>
                <w:color w:val="333333"/>
                <w:szCs w:val="22"/>
                <w:lang w:eastAsia="en-GB"/>
              </w:rPr>
            </w:pPr>
            <w:r w:rsidRPr="00EC4C31">
              <w:rPr>
                <w:rFonts w:eastAsia="Times New Roman" w:cs="Calibri"/>
                <w:color w:val="333333"/>
                <w:szCs w:val="22"/>
                <w:lang w:eastAsia="en-GB"/>
              </w:rPr>
              <w:t xml:space="preserve">Background in operations management, service </w:t>
            </w:r>
            <w:r w:rsidRPr="00EC4C31">
              <w:rPr>
                <w:rFonts w:eastAsia="Times New Roman" w:cs="Calibri"/>
                <w:color w:val="333333"/>
                <w:szCs w:val="22"/>
                <w:lang w:eastAsia="en-GB"/>
              </w:rPr>
              <w:lastRenderedPageBreak/>
              <w:t>management, or transformation roles</w:t>
            </w:r>
          </w:p>
          <w:p w14:paraId="73BCA857" w14:textId="184F1E5A" w:rsidR="008829CB" w:rsidRPr="00233201" w:rsidRDefault="00EC4C31" w:rsidP="00EC4C31">
            <w:pPr>
              <w:numPr>
                <w:ilvl w:val="0"/>
                <w:numId w:val="9"/>
              </w:numPr>
              <w:shd w:val="clear" w:color="auto" w:fill="FFFFFF"/>
              <w:spacing w:before="100" w:beforeAutospacing="1" w:after="100" w:afterAutospacing="1"/>
              <w:rPr>
                <w:rFonts w:eastAsia="Times New Roman" w:cs="Calibri"/>
                <w:color w:val="333333"/>
                <w:szCs w:val="22"/>
                <w:lang w:eastAsia="en-GB"/>
              </w:rPr>
            </w:pPr>
            <w:r w:rsidRPr="00EC4C31">
              <w:rPr>
                <w:rFonts w:eastAsia="Times New Roman" w:cs="Calibri"/>
                <w:color w:val="333333"/>
                <w:szCs w:val="22"/>
                <w:lang w:eastAsia="en-GB"/>
              </w:rPr>
              <w:t>Experience in public services, regulated industries, or large-scale service organisations</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21FB89F2" w14:textId="386946AE" w:rsidR="00966F66" w:rsidRPr="00233201" w:rsidRDefault="00B91D5F" w:rsidP="00DF288D">
            <w:pPr>
              <w:pStyle w:val="ListParagraph"/>
              <w:numPr>
                <w:ilvl w:val="0"/>
                <w:numId w:val="9"/>
              </w:numPr>
              <w:spacing w:beforeLines="100" w:before="240" w:afterLines="100" w:after="240"/>
              <w:rPr>
                <w:rFonts w:cs="Calibri"/>
              </w:rPr>
            </w:pPr>
            <w:r>
              <w:rPr>
                <w:rFonts w:cs="Calibri"/>
              </w:rPr>
              <w:t>Ability to travel occasional to regional offices for workshops and</w:t>
            </w:r>
            <w:r w:rsidR="00B377A6">
              <w:rPr>
                <w:rFonts w:cs="Calibri"/>
              </w:rPr>
              <w:t>/or</w:t>
            </w:r>
            <w:r>
              <w:rPr>
                <w:rFonts w:cs="Calibri"/>
              </w:rPr>
              <w:t xml:space="preserve"> in person meetings</w:t>
            </w:r>
          </w:p>
        </w:tc>
        <w:tc>
          <w:tcPr>
            <w:tcW w:w="3728" w:type="dxa"/>
          </w:tcPr>
          <w:p w14:paraId="49E7C29C" w14:textId="77777777" w:rsidR="00966F66" w:rsidRPr="00AC5FDD" w:rsidRDefault="00966F66" w:rsidP="00357C9C">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80D2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80D2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80D2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C299" w14:textId="77777777" w:rsidR="00101B61" w:rsidRDefault="00101B61" w:rsidP="00A96CB2">
      <w:r>
        <w:separator/>
      </w:r>
    </w:p>
  </w:endnote>
  <w:endnote w:type="continuationSeparator" w:id="0">
    <w:p w14:paraId="5CF9EA94" w14:textId="77777777" w:rsidR="00101B61" w:rsidRDefault="00101B6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0552" w14:textId="77777777" w:rsidR="00101B61" w:rsidRDefault="00101B61" w:rsidP="00A96CB2">
      <w:r>
        <w:separator/>
      </w:r>
    </w:p>
  </w:footnote>
  <w:footnote w:type="continuationSeparator" w:id="0">
    <w:p w14:paraId="040B6FC5" w14:textId="77777777" w:rsidR="00101B61" w:rsidRDefault="00101B6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9F79C68" w:rsidR="005E1013" w:rsidRPr="004A6AA8" w:rsidRDefault="00080D2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Service Designer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9F79C68" w:rsidR="005E1013" w:rsidRPr="004A6AA8" w:rsidRDefault="00080D2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Service Designer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3012F02" w:rsidR="00AD6216" w:rsidRPr="004A6AA8" w:rsidRDefault="00080D2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Service Designer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3012F02" w:rsidR="00AD6216" w:rsidRPr="004A6AA8" w:rsidRDefault="00080D2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Service Designer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7C94CDE"/>
    <w:multiLevelType w:val="hybridMultilevel"/>
    <w:tmpl w:val="4708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8"/>
  </w:num>
  <w:num w:numId="8" w16cid:durableId="700788950">
    <w:abstractNumId w:val="9"/>
  </w:num>
  <w:num w:numId="9" w16cid:durableId="1191339356">
    <w:abstractNumId w:val="10"/>
  </w:num>
  <w:num w:numId="10" w16cid:durableId="313796613">
    <w:abstractNumId w:val="4"/>
  </w:num>
  <w:num w:numId="11" w16cid:durableId="76696949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80D22"/>
    <w:rsid w:val="0009523A"/>
    <w:rsid w:val="00096451"/>
    <w:rsid w:val="000B543A"/>
    <w:rsid w:val="000C22EE"/>
    <w:rsid w:val="000D0E23"/>
    <w:rsid w:val="000D47BD"/>
    <w:rsid w:val="000F1AD1"/>
    <w:rsid w:val="000F3980"/>
    <w:rsid w:val="00101B61"/>
    <w:rsid w:val="001138E4"/>
    <w:rsid w:val="00132A6E"/>
    <w:rsid w:val="00145448"/>
    <w:rsid w:val="00146F55"/>
    <w:rsid w:val="001521BA"/>
    <w:rsid w:val="00156B5B"/>
    <w:rsid w:val="001613CA"/>
    <w:rsid w:val="00166DFB"/>
    <w:rsid w:val="001672F3"/>
    <w:rsid w:val="00172840"/>
    <w:rsid w:val="001730A7"/>
    <w:rsid w:val="00192749"/>
    <w:rsid w:val="00195D47"/>
    <w:rsid w:val="001A1E1C"/>
    <w:rsid w:val="001A2656"/>
    <w:rsid w:val="001A4354"/>
    <w:rsid w:val="001A5D93"/>
    <w:rsid w:val="001B2A78"/>
    <w:rsid w:val="001E1018"/>
    <w:rsid w:val="001F6511"/>
    <w:rsid w:val="0020008F"/>
    <w:rsid w:val="00203534"/>
    <w:rsid w:val="0020579B"/>
    <w:rsid w:val="002118F4"/>
    <w:rsid w:val="00214E5E"/>
    <w:rsid w:val="00232ED5"/>
    <w:rsid w:val="00233201"/>
    <w:rsid w:val="0024338F"/>
    <w:rsid w:val="002553BD"/>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57C9C"/>
    <w:rsid w:val="003650D1"/>
    <w:rsid w:val="00380FA4"/>
    <w:rsid w:val="0038772C"/>
    <w:rsid w:val="0038785C"/>
    <w:rsid w:val="00396E21"/>
    <w:rsid w:val="003A1034"/>
    <w:rsid w:val="003A576E"/>
    <w:rsid w:val="003A591F"/>
    <w:rsid w:val="003A7E70"/>
    <w:rsid w:val="003B3ED7"/>
    <w:rsid w:val="003B789D"/>
    <w:rsid w:val="003E0A21"/>
    <w:rsid w:val="003E2915"/>
    <w:rsid w:val="003E6AC1"/>
    <w:rsid w:val="003F2EA9"/>
    <w:rsid w:val="003F47B2"/>
    <w:rsid w:val="0040035C"/>
    <w:rsid w:val="00400F4B"/>
    <w:rsid w:val="00403FCD"/>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6FE"/>
    <w:rsid w:val="00481D33"/>
    <w:rsid w:val="00484AE6"/>
    <w:rsid w:val="004A3B79"/>
    <w:rsid w:val="004B0D6E"/>
    <w:rsid w:val="004D7F07"/>
    <w:rsid w:val="004E07B2"/>
    <w:rsid w:val="004E1C18"/>
    <w:rsid w:val="004E7191"/>
    <w:rsid w:val="004F04E2"/>
    <w:rsid w:val="004F05E6"/>
    <w:rsid w:val="004F2DAD"/>
    <w:rsid w:val="0051296C"/>
    <w:rsid w:val="00522685"/>
    <w:rsid w:val="00525155"/>
    <w:rsid w:val="005263EA"/>
    <w:rsid w:val="00531ED7"/>
    <w:rsid w:val="00534485"/>
    <w:rsid w:val="00536D88"/>
    <w:rsid w:val="005378DD"/>
    <w:rsid w:val="00546676"/>
    <w:rsid w:val="00546CCA"/>
    <w:rsid w:val="0055685A"/>
    <w:rsid w:val="00556A5E"/>
    <w:rsid w:val="00557C5F"/>
    <w:rsid w:val="005750BA"/>
    <w:rsid w:val="005775F8"/>
    <w:rsid w:val="00583E2F"/>
    <w:rsid w:val="00586007"/>
    <w:rsid w:val="0059587A"/>
    <w:rsid w:val="005A0A53"/>
    <w:rsid w:val="005A2909"/>
    <w:rsid w:val="005A5A45"/>
    <w:rsid w:val="005B5863"/>
    <w:rsid w:val="005E1013"/>
    <w:rsid w:val="005E12CA"/>
    <w:rsid w:val="005E337E"/>
    <w:rsid w:val="005F4391"/>
    <w:rsid w:val="005F7120"/>
    <w:rsid w:val="00605BEA"/>
    <w:rsid w:val="00612BE0"/>
    <w:rsid w:val="00614999"/>
    <w:rsid w:val="00614D84"/>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525C"/>
    <w:rsid w:val="00693619"/>
    <w:rsid w:val="00693A0A"/>
    <w:rsid w:val="006A1513"/>
    <w:rsid w:val="006A615A"/>
    <w:rsid w:val="006A7FC8"/>
    <w:rsid w:val="006B647C"/>
    <w:rsid w:val="006D5A73"/>
    <w:rsid w:val="006D6121"/>
    <w:rsid w:val="006D6F7B"/>
    <w:rsid w:val="006E187D"/>
    <w:rsid w:val="006E5014"/>
    <w:rsid w:val="006E5BA6"/>
    <w:rsid w:val="006F280C"/>
    <w:rsid w:val="00703B0A"/>
    <w:rsid w:val="00707D97"/>
    <w:rsid w:val="00716AC6"/>
    <w:rsid w:val="00721860"/>
    <w:rsid w:val="00722C6C"/>
    <w:rsid w:val="00723AA9"/>
    <w:rsid w:val="00726FD5"/>
    <w:rsid w:val="00735584"/>
    <w:rsid w:val="00750F11"/>
    <w:rsid w:val="00751467"/>
    <w:rsid w:val="00757D37"/>
    <w:rsid w:val="00777004"/>
    <w:rsid w:val="00785B9C"/>
    <w:rsid w:val="007A1AC7"/>
    <w:rsid w:val="007B1F7A"/>
    <w:rsid w:val="007B7162"/>
    <w:rsid w:val="007C36E2"/>
    <w:rsid w:val="007C3C30"/>
    <w:rsid w:val="007C488F"/>
    <w:rsid w:val="007E2E8C"/>
    <w:rsid w:val="007E2ED2"/>
    <w:rsid w:val="007F2A61"/>
    <w:rsid w:val="007F2D27"/>
    <w:rsid w:val="007F473F"/>
    <w:rsid w:val="008076FA"/>
    <w:rsid w:val="0081396E"/>
    <w:rsid w:val="00815820"/>
    <w:rsid w:val="00817458"/>
    <w:rsid w:val="00836694"/>
    <w:rsid w:val="00836FC0"/>
    <w:rsid w:val="008421E2"/>
    <w:rsid w:val="0084383C"/>
    <w:rsid w:val="00850BD3"/>
    <w:rsid w:val="008625A8"/>
    <w:rsid w:val="00870118"/>
    <w:rsid w:val="008829CB"/>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831EB"/>
    <w:rsid w:val="00992211"/>
    <w:rsid w:val="009A706F"/>
    <w:rsid w:val="009B2062"/>
    <w:rsid w:val="009B41B8"/>
    <w:rsid w:val="009D591E"/>
    <w:rsid w:val="009D715E"/>
    <w:rsid w:val="009E32A2"/>
    <w:rsid w:val="009E4D3C"/>
    <w:rsid w:val="00A00477"/>
    <w:rsid w:val="00A00821"/>
    <w:rsid w:val="00A11392"/>
    <w:rsid w:val="00A215C5"/>
    <w:rsid w:val="00A34AC6"/>
    <w:rsid w:val="00A51DA9"/>
    <w:rsid w:val="00A562C0"/>
    <w:rsid w:val="00A62D61"/>
    <w:rsid w:val="00A66B4F"/>
    <w:rsid w:val="00A820BE"/>
    <w:rsid w:val="00A87CA6"/>
    <w:rsid w:val="00A909EF"/>
    <w:rsid w:val="00A95664"/>
    <w:rsid w:val="00A96CB2"/>
    <w:rsid w:val="00AA0AF3"/>
    <w:rsid w:val="00AA197E"/>
    <w:rsid w:val="00AC21A4"/>
    <w:rsid w:val="00AC5FDD"/>
    <w:rsid w:val="00AC76FA"/>
    <w:rsid w:val="00AD1C29"/>
    <w:rsid w:val="00AD6216"/>
    <w:rsid w:val="00AE0807"/>
    <w:rsid w:val="00AE1D21"/>
    <w:rsid w:val="00AF5C72"/>
    <w:rsid w:val="00AF6D0E"/>
    <w:rsid w:val="00B2053D"/>
    <w:rsid w:val="00B21FAC"/>
    <w:rsid w:val="00B377A6"/>
    <w:rsid w:val="00B44E89"/>
    <w:rsid w:val="00B4728A"/>
    <w:rsid w:val="00B507D2"/>
    <w:rsid w:val="00B73492"/>
    <w:rsid w:val="00B83328"/>
    <w:rsid w:val="00B91D5F"/>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2E01"/>
    <w:rsid w:val="00C57856"/>
    <w:rsid w:val="00C600C2"/>
    <w:rsid w:val="00C653AC"/>
    <w:rsid w:val="00C669DB"/>
    <w:rsid w:val="00C7219D"/>
    <w:rsid w:val="00C779CA"/>
    <w:rsid w:val="00C83042"/>
    <w:rsid w:val="00C87A5B"/>
    <w:rsid w:val="00C9697F"/>
    <w:rsid w:val="00CA4700"/>
    <w:rsid w:val="00CA7205"/>
    <w:rsid w:val="00CB45D6"/>
    <w:rsid w:val="00CC5C14"/>
    <w:rsid w:val="00CC618D"/>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B3D01"/>
    <w:rsid w:val="00DD3296"/>
    <w:rsid w:val="00DE205B"/>
    <w:rsid w:val="00DF02BD"/>
    <w:rsid w:val="00DF288D"/>
    <w:rsid w:val="00E027ED"/>
    <w:rsid w:val="00E061D3"/>
    <w:rsid w:val="00E071D1"/>
    <w:rsid w:val="00E10AA4"/>
    <w:rsid w:val="00E12C2D"/>
    <w:rsid w:val="00E14D96"/>
    <w:rsid w:val="00E2009A"/>
    <w:rsid w:val="00E32957"/>
    <w:rsid w:val="00E4225D"/>
    <w:rsid w:val="00E4379F"/>
    <w:rsid w:val="00E608B3"/>
    <w:rsid w:val="00E653E9"/>
    <w:rsid w:val="00E8547A"/>
    <w:rsid w:val="00EA27A9"/>
    <w:rsid w:val="00EA753A"/>
    <w:rsid w:val="00EB76F5"/>
    <w:rsid w:val="00EC4C31"/>
    <w:rsid w:val="00EC4FA3"/>
    <w:rsid w:val="00EC7058"/>
    <w:rsid w:val="00ED2F2C"/>
    <w:rsid w:val="00ED5F09"/>
    <w:rsid w:val="00ED6078"/>
    <w:rsid w:val="00EE6476"/>
    <w:rsid w:val="00EF1D1C"/>
    <w:rsid w:val="00F0798E"/>
    <w:rsid w:val="00F52A97"/>
    <w:rsid w:val="00F553DC"/>
    <w:rsid w:val="00F62430"/>
    <w:rsid w:val="00F63E60"/>
    <w:rsid w:val="00F66FA7"/>
    <w:rsid w:val="00F67D50"/>
    <w:rsid w:val="00F72747"/>
    <w:rsid w:val="00F9670F"/>
    <w:rsid w:val="00FA0CDC"/>
    <w:rsid w:val="00FB0343"/>
    <w:rsid w:val="00FB0DB0"/>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336E"/>
    <w:rsid w:val="00032D31"/>
    <w:rsid w:val="000538CB"/>
    <w:rsid w:val="00166DFB"/>
    <w:rsid w:val="001F6511"/>
    <w:rsid w:val="00270CFF"/>
    <w:rsid w:val="00396E21"/>
    <w:rsid w:val="004E7191"/>
    <w:rsid w:val="007D214F"/>
    <w:rsid w:val="0081396E"/>
    <w:rsid w:val="009328A4"/>
    <w:rsid w:val="00BB3279"/>
    <w:rsid w:val="00CB6CF1"/>
    <w:rsid w:val="00D43D3B"/>
    <w:rsid w:val="00DB2F17"/>
    <w:rsid w:val="00E14D96"/>
    <w:rsid w:val="00E2009A"/>
    <w:rsid w:val="00E608B3"/>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3edf21e62b9cb067ab700209abdbaf74">
  <xsd:schema xmlns:xsd="http://www.w3.org/2001/XMLSchema" xmlns:xs="http://www.w3.org/2001/XMLSchema" xmlns:p="http://schemas.microsoft.com/office/2006/metadata/properties" xmlns:ns2="0e716bc8-b849-4889-99f3-106f1a731a15" targetNamespace="http://schemas.microsoft.com/office/2006/metadata/properties" ma:root="true" ma:fieldsID="0ed8f7a9565099ea751bf96809e8896d"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0e716bc8-b849-4889-99f3-106f1a731a15"/>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CF5C518D-0AE9-4435-9C95-120BF4972CBB}"/>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1055</Words>
  <Characters>7255</Characters>
  <Application>Microsoft Office Word</Application>
  <DocSecurity>4</DocSecurity>
  <Lines>279</Lines>
  <Paragraphs>159</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Designer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2026-01-13T11:20:00Z</dcterms:created>
  <dcterms:modified xsi:type="dcterms:W3CDTF">2026-01-13T11:20:00Z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71000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